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88"/>
        <w:ind w:left="0" w:right="434"/>
        <w:jc w:val="center"/>
        <w:spacing w:before="0"/>
      </w:pPr>
      <w:r>
        <w:t xml:space="preserve">РАБОЧАЯ</w:t>
      </w:r>
      <w:r>
        <w:rPr>
          <w:spacing w:val="-2"/>
        </w:rPr>
        <w:t xml:space="preserve"> </w:t>
      </w:r>
      <w:r>
        <w:t xml:space="preserve">ПРОГРАММА</w:t>
      </w:r>
      <w:r>
        <w:t xml:space="preserve"> </w:t>
      </w:r>
      <w:r>
        <w:rPr>
          <w:spacing w:val="-2"/>
        </w:rPr>
        <w:t xml:space="preserve">ДИСЦИПЛИНЫ</w:t>
      </w:r>
      <w:r/>
    </w:p>
    <w:p>
      <w:pPr>
        <w:pStyle w:val="889"/>
        <w:ind w:left="7" w:right="435"/>
        <w:jc w:val="center"/>
        <w:spacing w:before="243"/>
      </w:pPr>
      <w:r>
        <w:t xml:space="preserve">СГЦ.05</w:t>
      </w:r>
      <w:r>
        <w:rPr>
          <w:spacing w:val="-1"/>
        </w:rPr>
        <w:t xml:space="preserve"> </w:t>
      </w:r>
      <w:r>
        <w:t xml:space="preserve">Основы</w:t>
      </w:r>
      <w:r>
        <w:rPr>
          <w:spacing w:val="-5"/>
        </w:rPr>
        <w:t xml:space="preserve"> </w:t>
      </w:r>
      <w:r>
        <w:t xml:space="preserve">финансовой</w:t>
      </w:r>
      <w:r>
        <w:rPr>
          <w:spacing w:val="-3"/>
        </w:rPr>
        <w:t xml:space="preserve"> </w:t>
      </w:r>
      <w:r>
        <w:rPr>
          <w:spacing w:val="-2"/>
        </w:rPr>
        <w:t xml:space="preserve">грамотности</w:t>
      </w:r>
      <w:r/>
    </w:p>
    <w:p>
      <w:pPr>
        <w:pStyle w:val="896"/>
        <w:ind w:right="146"/>
        <w:jc w:val="center"/>
        <w:spacing w:before="136"/>
      </w:pPr>
      <w:r>
        <w:t xml:space="preserve">11.02.17</w:t>
      </w:r>
      <w:r>
        <w:rPr>
          <w:spacing w:val="-6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/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spacing w:before="214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13" w:right="435"/>
        <w:jc w:val="center"/>
        <w:rPr>
          <w:b/>
          <w:spacing w:val="-5"/>
          <w:sz w:val="24"/>
        </w:rPr>
      </w:pPr>
      <w:r>
        <w:rPr>
          <w:b/>
          <w:sz w:val="24"/>
        </w:rPr>
        <w:t xml:space="preserve">2025</w:t>
      </w:r>
      <w:r>
        <w:rPr>
          <w:b/>
          <w:spacing w:val="-5"/>
          <w:sz w:val="24"/>
        </w:rPr>
      </w:r>
      <w:r>
        <w:rPr>
          <w:b/>
          <w:spacing w:val="-5"/>
          <w:sz w:val="24"/>
        </w:rPr>
      </w:r>
    </w:p>
    <w:p>
      <w:pPr>
        <w:ind w:left="13" w:right="435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13" w:right="435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13" w:right="435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01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869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869"/>
          </w:rPr>
          <w:t xml:space="preserve">1. Общая характеристика</w:t>
        </w:r>
        <w:r>
          <w:tab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7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869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869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869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7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869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869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869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869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7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869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7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869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7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869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r>
        <w:rPr>
          <w:rFonts w:ascii="Times New Roman" w:hAnsi="Times New Roman"/>
          <w:b w:val="0"/>
          <w:bCs w:val="0"/>
        </w:rPr>
        <w:fldChar w:fldCharType="end"/>
      </w:r>
      <w:r>
        <w:rPr>
          <w:rFonts w:ascii="Times New Roman" w:hAnsi="Times New Roman"/>
          <w:b w:val="0"/>
          <w:bCs w:val="0"/>
        </w:rPr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ОБЩАЯ ХАРАКТЕРИСТИКА РАБОЧЕЙ ПРОГРАММЫ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«СГЦ.05 Основы финансовой грамотности»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93"/>
        <w:numPr>
          <w:ilvl w:val="1"/>
          <w:numId w:val="4"/>
        </w:numPr>
        <w:spacing w:before="0" w:beforeAutospacing="0" w:after="200" w:afterAutospacing="0"/>
        <w:rPr>
          <w:b/>
          <w:bCs/>
          <w:color w:val="000000"/>
        </w:rPr>
      </w:pPr>
      <w:r>
        <w:rPr>
          <w:rStyle w:val="902"/>
          <w:b/>
          <w:bCs/>
          <w:color w:val="000000"/>
          <w:sz w:val="24"/>
          <w:szCs w:val="24"/>
        </w:rPr>
        <w:t xml:space="preserve">Цель и место дисциплины в структуре  образовательной программы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hanging="2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Цель дисциплины «СГЦ.05 Основы финансовой грамотности»: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освоение знаний о финансовой жизни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93"/>
        <w:jc w:val="both"/>
        <w:spacing w:before="0" w:beforeAutospacing="0" w:after="200" w:afterAutospacing="0"/>
        <w:rPr>
          <w:color w:val="000000"/>
        </w:rPr>
      </w:pPr>
      <w:r>
        <w:rPr>
          <w:color w:val="000000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Дисциплина «СГЦ.05 Основы финансовой грамотности» включена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социально-гуманитарного  цикла образовательной программы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120" w:line="254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96"/>
        <w:ind w:left="140" w:right="177" w:firstLine="710"/>
        <w:spacing w:before="38" w:after="12" w:line="237" w:lineRule="auto"/>
      </w:pPr>
      <w:r/>
      <w:r/>
    </w:p>
    <w:tbl>
      <w:tblPr>
        <w:tblW w:w="92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3764"/>
        <w:gridCol w:w="3895"/>
      </w:tblGrid>
      <w:tr>
        <w:tblPrEx/>
        <w:trPr>
          <w:trHeight w:val="649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задачу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выявлять и отбирать информацию, необходимую для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составлять план действий;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необходимые ресурсы;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реализовывать составленный план;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основные источники информации и ресурсы для решения задач в профессиональном 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алгоритмы выполнения работ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смежных областях;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этапы планирования для решения задач;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0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и выстраивать траектории профессионального и личностного развития;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учитывать инфляцию при решении финансовых задач в 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производить расчеты по валютно-обменным операциям;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-планировать личные доходы и расходы, принимать финансовые решения, составлять личный бюджет;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 использовать разнообразие финансовых инструментов для управления личными финансами в целях   достижения финансового благополучия, с учетом финансовой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выявлять сильные и слабые стороны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грамотно проводить презентацию идеи открытия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собственного дела в области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источники финансирования для реализации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производить основные финансовые расчеты в сферах предпринимательской деятельности и планирования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оценивать финансовые риски, связанные с осуществлением предпринимательской деятельности и планирования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возможные траектории профессионального развития и самообразования;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инфляции, ее влияние на решение финансовых задач в 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иностранной валюты и валютного курса;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-структуру личных доходов и расходов, правила составления личного и семейного бюджета;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особенности различных банковских</w:t>
            </w:r>
            <w:sdt>
              <w:sdtPr>
                <w:alias w:val=""/>
                <w15:appearance w15:val="boundingBox"/>
                <w:label w:val="0"/>
                <w:lock w:val="unlocked"/>
                <w:tag w:val="goog_rdk_0"/>
                <w:rPr>
                  <w:rFonts w:ascii="Times New Roman" w:hAnsi="Times New Roman" w:cs="Times New Roman"/>
                  <w:sz w:val="24"/>
                  <w:szCs w:val="24"/>
                </w:rPr>
              </w:sdtPr>
              <w:sdtContent>
                <w:r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  <w:t xml:space="preserve"> и страховых</w:t>
                </w:r>
              </w:sdtContent>
            </w:sdt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систему и полномочия государственных органов в сферах профессиональной деятельности,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предпринимательской деятельности и защиты прав потребителей;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896"/>
        <w:spacing w:before="227"/>
      </w:pPr>
      <w:r/>
      <w:r/>
    </w:p>
    <w:p>
      <w:pPr>
        <w:pStyle w:val="896"/>
        <w:spacing w:before="227"/>
      </w:pPr>
      <w:r/>
      <w:r/>
    </w:p>
    <w:p>
      <w:pPr>
        <w:pStyle w:val="896"/>
        <w:spacing w:before="227"/>
      </w:pPr>
      <w:r/>
      <w:r/>
    </w:p>
    <w:p>
      <w:pPr>
        <w:pStyle w:val="901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6"/>
        <w:spacing w:before="1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tbl>
      <w:tblPr>
        <w:tblStyle w:val="899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920"/>
        <w:gridCol w:w="2656"/>
      </w:tblGrid>
      <w:tr>
        <w:tblPrEx/>
        <w:trPr>
          <w:trHeight w:val="493"/>
        </w:trPr>
        <w:tc>
          <w:tcPr>
            <w:tcW w:w="69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pStyle w:val="900"/>
              <w:ind w:left="11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900"/>
              <w:ind w:left="107"/>
              <w:rPr>
                <w:b/>
              </w:rPr>
            </w:pPr>
            <w:r>
              <w:rPr>
                <w:b/>
              </w:rPr>
              <w:t xml:space="preserve">Объем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часах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89"/>
        </w:trPr>
        <w:tc>
          <w:tcPr>
            <w:tcW w:w="6920" w:type="dxa"/>
            <w:textDirection w:val="lrTb"/>
            <w:noWrap w:val="false"/>
          </w:tcPr>
          <w:p>
            <w:pPr>
              <w:pStyle w:val="900"/>
              <w:ind w:left="112"/>
              <w:spacing w:before="10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</w:t>
            </w:r>
            <w:r>
              <w:rPr>
                <w:b/>
                <w:spacing w:val="-1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образовательной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программы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учебной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дисциплины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900"/>
              <w:ind w:left="107"/>
              <w:spacing w:before="78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89"/>
        </w:trPr>
        <w:tc>
          <w:tcPr>
            <w:tcW w:w="6920" w:type="dxa"/>
            <w:textDirection w:val="lrTb"/>
            <w:noWrap w:val="false"/>
          </w:tcPr>
          <w:p>
            <w:pPr>
              <w:pStyle w:val="900"/>
              <w:ind w:left="112"/>
              <w:spacing w:before="10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т.ч</w:t>
            </w:r>
            <w:r>
              <w:rPr>
                <w:b/>
                <w:lang w:val="ru-RU"/>
              </w:rPr>
              <w:t xml:space="preserve">. в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практической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подготовки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900"/>
              <w:ind w:left="107"/>
              <w:spacing w:before="7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gridSpan w:val="2"/>
            <w:tcW w:w="9576" w:type="dxa"/>
            <w:textDirection w:val="lrTb"/>
            <w:noWrap w:val="false"/>
          </w:tcPr>
          <w:p>
            <w:pPr>
              <w:pStyle w:val="900"/>
              <w:ind w:left="112"/>
              <w:spacing w:before="20"/>
            </w:pPr>
            <w:r>
              <w:t xml:space="preserve">в</w:t>
            </w:r>
            <w:r>
              <w:rPr>
                <w:spacing w:val="3"/>
              </w:rPr>
              <w:t xml:space="preserve"> </w:t>
            </w:r>
            <w:r>
              <w:t xml:space="preserve">т.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 xml:space="preserve">ч.:</w:t>
            </w:r>
            <w:r/>
          </w:p>
        </w:tc>
      </w:tr>
      <w:tr>
        <w:tblPrEx/>
        <w:trPr>
          <w:trHeight w:val="493"/>
        </w:trPr>
        <w:tc>
          <w:tcPr>
            <w:tcW w:w="6920" w:type="dxa"/>
            <w:textDirection w:val="lrTb"/>
            <w:noWrap w:val="false"/>
          </w:tcPr>
          <w:p>
            <w:pPr>
              <w:pStyle w:val="900"/>
              <w:ind w:left="112"/>
              <w:spacing w:before="96"/>
            </w:pPr>
            <w:r>
              <w:t xml:space="preserve">теоретическое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обучение</w:t>
            </w:r>
            <w:r/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900"/>
              <w:ind w:left="107"/>
              <w:spacing w:before="96"/>
            </w:pPr>
            <w:r>
              <w:rPr>
                <w:spacing w:val="-5"/>
              </w:rPr>
              <w:t xml:space="preserve">11</w:t>
            </w:r>
            <w:r/>
          </w:p>
        </w:tc>
      </w:tr>
      <w:tr>
        <w:tblPrEx/>
        <w:trPr>
          <w:trHeight w:val="489"/>
        </w:trPr>
        <w:tc>
          <w:tcPr>
            <w:tcW w:w="6920" w:type="dxa"/>
            <w:textDirection w:val="lrTb"/>
            <w:noWrap w:val="false"/>
          </w:tcPr>
          <w:p>
            <w:pPr>
              <w:pStyle w:val="900"/>
              <w:ind w:left="112"/>
              <w:spacing w:before="96"/>
            </w:pPr>
            <w:r>
              <w:rPr>
                <w:spacing w:val="-2"/>
              </w:rPr>
              <w:t xml:space="preserve">практические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 xml:space="preserve">занятия</w:t>
            </w:r>
            <w:r/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900"/>
              <w:ind w:left="107"/>
              <w:spacing w:before="96"/>
            </w:pPr>
            <w:r>
              <w:rPr>
                <w:spacing w:val="-10"/>
              </w:rPr>
              <w:t xml:space="preserve">21</w:t>
            </w:r>
            <w:r/>
          </w:p>
        </w:tc>
      </w:tr>
      <w:tr>
        <w:tblPrEx/>
        <w:trPr>
          <w:trHeight w:val="292"/>
        </w:trPr>
        <w:tc>
          <w:tcPr>
            <w:tcW w:w="6920" w:type="dxa"/>
            <w:textDirection w:val="lrTb"/>
            <w:noWrap w:val="false"/>
          </w:tcPr>
          <w:p>
            <w:pPr>
              <w:pStyle w:val="900"/>
              <w:ind w:left="112"/>
              <w:spacing w:line="249" w:lineRule="exact"/>
            </w:pPr>
            <w:r>
              <w:t xml:space="preserve">Самостоятельная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работа</w:t>
            </w:r>
            <w:r/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900"/>
              <w:ind w:left="107"/>
              <w:spacing w:line="249" w:lineRule="exact"/>
            </w:pPr>
            <w:r>
              <w:rPr>
                <w:spacing w:val="-5"/>
              </w:rPr>
              <w:t xml:space="preserve">4</w:t>
            </w:r>
            <w:r/>
          </w:p>
        </w:tc>
      </w:tr>
      <w:tr>
        <w:tblPrEx/>
        <w:trPr>
          <w:trHeight w:val="330"/>
        </w:trPr>
        <w:tc>
          <w:tcPr>
            <w:tcW w:w="6920" w:type="dxa"/>
            <w:textDirection w:val="lrTb"/>
            <w:noWrap w:val="false"/>
          </w:tcPr>
          <w:p>
            <w:pPr>
              <w:pStyle w:val="900"/>
              <w:ind w:left="112"/>
              <w:spacing w:before="2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Промежуточная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аттестация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форме дифференцированного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зачета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900"/>
              <w:ind w:left="107"/>
              <w:spacing w:before="15"/>
            </w:pPr>
            <w:r>
              <w:rPr>
                <w:spacing w:val="-10"/>
              </w:rPr>
            </w:r>
            <w:r/>
          </w:p>
        </w:tc>
      </w:tr>
    </w:tbl>
    <w:p>
      <w:pPr>
        <w:pStyle w:val="900"/>
      </w:pPr>
      <w:r/>
      <w:r/>
    </w:p>
    <w:p>
      <w:pPr>
        <w:pStyle w:val="900"/>
      </w:pPr>
      <w:r/>
      <w:r/>
    </w:p>
    <w:p>
      <w:pPr>
        <w:pStyle w:val="900"/>
      </w:pPr>
      <w:r/>
      <w:r/>
    </w:p>
    <w:p>
      <w:pPr>
        <w:pStyle w:val="900"/>
      </w:pPr>
      <w:r/>
      <w:r/>
    </w:p>
    <w:p>
      <w:pPr>
        <w:pStyle w:val="900"/>
        <w:sectPr>
          <w:footerReference w:type="default" r:id="rId9"/>
          <w:footnotePr/>
          <w:endnotePr/>
          <w:type w:val="nextPage"/>
          <w:pgSz w:w="11910" w:h="16840" w:orient="portrait"/>
          <w:pgMar w:top="1100" w:right="708" w:bottom="280" w:left="1559" w:header="0" w:footer="0" w:gutter="0"/>
          <w:cols w:num="1" w:sep="0" w:space="720" w:equalWidth="1"/>
          <w:docGrid w:linePitch="360"/>
        </w:sectPr>
      </w:pPr>
      <w:r/>
      <w:r/>
    </w:p>
    <w:p>
      <w:pPr>
        <w:ind w:left="784" w:firstLine="0"/>
        <w:spacing w:before="77"/>
        <w:tabs>
          <w:tab w:val="left" w:pos="1241" w:leader="none"/>
        </w:tabs>
        <w:rPr>
          <w:b/>
        </w:rPr>
      </w:pPr>
      <w:r>
        <w:rPr>
          <w:b/>
        </w:rPr>
      </w:r>
      <w:r>
        <w:rPr>
          <w:rFonts w:ascii="Times New Roman" w:hAnsi="Times New Roman"/>
          <w:b/>
          <w:bCs/>
        </w:rPr>
        <w:t xml:space="preserve">2.2. Содержание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b/>
        </w:rPr>
      </w:r>
      <w:r>
        <w:rPr>
          <w:b/>
        </w:rPr>
      </w:r>
    </w:p>
    <w:p>
      <w:pPr>
        <w:pStyle w:val="896"/>
        <w:spacing w:before="1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tbl>
      <w:tblPr>
        <w:tblStyle w:val="899"/>
        <w:tblW w:w="15276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8521"/>
        <w:gridCol w:w="1842"/>
        <w:gridCol w:w="2268"/>
      </w:tblGrid>
      <w:tr>
        <w:tblPrEx/>
        <w:trPr>
          <w:trHeight w:val="2237"/>
        </w:trPr>
        <w:tc>
          <w:tcPr>
            <w:tcW w:w="2645" w:type="dxa"/>
            <w:textDirection w:val="lrTb"/>
            <w:noWrap w:val="false"/>
          </w:tcPr>
          <w:p>
            <w:pPr>
              <w:pStyle w:val="90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spacing w:before="22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ind w:left="1055" w:right="90" w:hanging="936"/>
              <w:spacing w:line="273" w:lineRule="auto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 xml:space="preserve">разделов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</w:rPr>
              <w:t xml:space="preserve">тем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spacing w:before="22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ind w:left="1502" w:hanging="1388"/>
              <w:jc w:val="center"/>
              <w:spacing w:line="273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jc w:val="center"/>
              <w:spacing w:before="103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ind w:left="117" w:right="116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Объем,</w:t>
            </w:r>
            <w:r>
              <w:rPr>
                <w:b/>
                <w:spacing w:val="-1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акад.</w:t>
            </w:r>
            <w:r>
              <w:rPr>
                <w:b/>
                <w:spacing w:val="-1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/ в том числе в </w:t>
            </w:r>
            <w:r>
              <w:rPr>
                <w:b/>
                <w:spacing w:val="-2"/>
                <w:lang w:val="ru-RU"/>
              </w:rPr>
              <w:t xml:space="preserve">форме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ind w:left="115" w:right="11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практической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подготовки</w:t>
            </w:r>
            <w:r>
              <w:rPr>
                <w:b/>
                <w:spacing w:val="-2"/>
              </w:rPr>
              <w:t xml:space="preserve">, </w:t>
            </w:r>
            <w:r>
              <w:rPr>
                <w:b/>
              </w:rPr>
              <w:t xml:space="preserve">акад</w:t>
            </w:r>
            <w:r>
              <w:rPr>
                <w:b/>
              </w:rPr>
              <w:t xml:space="preserve">. ч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r/>
            <w:r/>
          </w:p>
        </w:tc>
      </w:tr>
      <w:tr>
        <w:tblPrEx/>
        <w:trPr>
          <w:trHeight w:val="249"/>
        </w:trPr>
        <w:tc>
          <w:tcPr>
            <w:tcW w:w="2645" w:type="dxa"/>
            <w:textDirection w:val="lrTb"/>
            <w:noWrap w:val="false"/>
          </w:tcPr>
          <w:p>
            <w:pPr>
              <w:pStyle w:val="900"/>
              <w:ind w:left="9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1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7" w:right="2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2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3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  <w:ind w:left="142" w:right="139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4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509"/>
        </w:trPr>
        <w:tc>
          <w:tcPr>
            <w:gridSpan w:val="2"/>
            <w:tcW w:w="11166" w:type="dxa"/>
            <w:textDirection w:val="lrTb"/>
            <w:noWrap w:val="false"/>
          </w:tcPr>
          <w:p>
            <w:pPr>
              <w:pStyle w:val="900"/>
              <w:ind w:left="110" w:right="104"/>
              <w:spacing w:line="256" w:lineRule="exact"/>
              <w:tabs>
                <w:tab w:val="left" w:pos="1026" w:leader="none"/>
                <w:tab w:val="left" w:pos="1448" w:leader="none"/>
                <w:tab w:val="left" w:pos="2182" w:leader="none"/>
                <w:tab w:val="left" w:pos="2565" w:leader="none"/>
                <w:tab w:val="left" w:pos="3716" w:leader="none"/>
                <w:tab w:val="left" w:pos="5174" w:leader="none"/>
                <w:tab w:val="left" w:pos="6695" w:leader="none"/>
                <w:tab w:val="left" w:pos="7328" w:leader="none"/>
              </w:tabs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Раздел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6"/>
                <w:lang w:val="ru-RU"/>
              </w:rPr>
              <w:t xml:space="preserve">1.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4"/>
                <w:lang w:val="ru-RU"/>
              </w:rPr>
              <w:t xml:space="preserve">Роль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10"/>
                <w:lang w:val="ru-RU"/>
              </w:rPr>
              <w:t xml:space="preserve">и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2"/>
                <w:lang w:val="ru-RU"/>
              </w:rPr>
              <w:t xml:space="preserve">значение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2"/>
                <w:lang w:val="ru-RU"/>
              </w:rPr>
              <w:t xml:space="preserve">финансовой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2"/>
                <w:lang w:val="ru-RU"/>
              </w:rPr>
              <w:t xml:space="preserve">грамотности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4"/>
                <w:lang w:val="ru-RU"/>
              </w:rPr>
              <w:t xml:space="preserve">при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2"/>
                <w:lang w:val="ru-RU"/>
              </w:rPr>
              <w:t xml:space="preserve">принятии </w:t>
            </w:r>
            <w:r>
              <w:rPr>
                <w:b/>
                <w:lang w:val="ru-RU"/>
              </w:rPr>
              <w:t xml:space="preserve">стратегических решений в условиях ограниченности ресурсов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before="131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</w:pPr>
            <w:r/>
            <w:r/>
          </w:p>
        </w:tc>
      </w:tr>
      <w:tr>
        <w:tblPrEx/>
        <w:trPr>
          <w:trHeight w:val="289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900"/>
              <w:ind w:left="110" w:right="932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1.1. </w:t>
            </w:r>
            <w:r>
              <w:rPr>
                <w:b/>
                <w:spacing w:val="-2"/>
                <w:lang w:val="ru-RU"/>
              </w:rPr>
              <w:t xml:space="preserve">Сущность </w:t>
            </w:r>
            <w:r>
              <w:rPr>
                <w:b/>
                <w:spacing w:val="-2"/>
                <w:lang w:val="ru-RU"/>
              </w:rPr>
              <w:t xml:space="preserve">финансовой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ind w:left="110" w:right="113"/>
              <w:spacing w:line="237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грамотности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населения, ее цели и задачи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/>
              <w:spacing w:line="251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line="251" w:lineRule="exact"/>
              <w:rPr>
                <w:b/>
              </w:rPr>
            </w:pPr>
            <w:r>
              <w:rPr>
                <w:b/>
                <w:spacing w:val="-10"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643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 w:right="9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Сущность понятия финансовой грамотности. Цели и задачи формирования финансовой грамотности.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jc w:val="center"/>
              <w:spacing w:before="101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ind w:left="116" w:right="116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  <w:ind w:right="469"/>
              <w:jc w:val="right"/>
              <w:spacing w:line="249" w:lineRule="exact"/>
              <w:rPr>
                <w:b/>
              </w:rPr>
            </w:pPr>
            <w:r>
              <w:rPr>
                <w:b/>
              </w:rPr>
              <w:t xml:space="preserve">ОК 01,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 xml:space="preserve">03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21" w:type="dxa"/>
            <w:vMerge w:val="restart"/>
            <w:textDirection w:val="lrTb"/>
            <w:noWrap w:val="false"/>
          </w:tcPr>
          <w:p>
            <w:pPr>
              <w:pStyle w:val="900"/>
              <w:ind w:left="110" w:right="96"/>
              <w:jc w:val="both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pP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900"/>
              <w:ind w:left="110" w:right="96"/>
              <w:jc w:val="both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val="ru-RU" w:eastAsia="ru-RU"/>
              </w:rPr>
            </w:r>
            <w:r>
              <w:rPr>
                <w:lang w:val="ru-RU"/>
              </w:rPr>
              <w:t xml:space="preserve">Содержание основных понятий финансовой грамотности: человеческий капитал, потребности, блага и услуги, ресурсы, деньги, финансы, сбережения, кредит, налоги, баланс, активы, пассивы, доходы, расходы, прибыль, выручка, бюджет и его виды, дефицит, профицит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val="ru-RU" w:eastAsia="ru-RU"/>
              </w:rPr>
            </w:r>
            <w:r>
              <w:rPr>
                <w:lang w:val="ru-RU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00"/>
              <w:jc w:val="center"/>
              <w:shd w:val="clear" w:color="ffffff" w:themeColor="background1" w:fill="ffffff" w:themeFill="background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4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00"/>
              <w:ind w:right="469"/>
              <w:jc w:val="right"/>
              <w:spacing w:line="249" w:lineRule="exac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93"/>
        </w:trPr>
        <w:tc>
          <w:tcPr>
            <w:gridSpan w:val="2"/>
            <w:tcW w:w="11166" w:type="dxa"/>
            <w:textDirection w:val="lrTb"/>
            <w:noWrap w:val="false"/>
          </w:tcPr>
          <w:p>
            <w:pPr>
              <w:pStyle w:val="900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2.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Место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России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международной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банковской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системе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</w:pPr>
            <w:r/>
            <w:r/>
          </w:p>
        </w:tc>
      </w:tr>
      <w:tr>
        <w:tblPrEx/>
        <w:trPr>
          <w:trHeight w:val="489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900"/>
              <w:ind w:left="110"/>
              <w:jc w:val="both"/>
              <w:spacing w:line="24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4"/>
                <w:lang w:val="ru-RU"/>
              </w:rPr>
              <w:t xml:space="preserve">2.1.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ind w:left="110" w:right="93"/>
              <w:jc w:val="both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Банковская система Российской Федерации: структура, функции и виды банковских услуг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/>
              <w:spacing w:line="249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</w:pPr>
            <w:r/>
            <w:r/>
          </w:p>
        </w:tc>
      </w:tr>
      <w:tr>
        <w:tblPrEx/>
        <w:trPr>
          <w:trHeight w:val="808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 w:right="98"/>
              <w:jc w:val="both"/>
            </w:pPr>
            <w:r>
              <w:rPr>
                <w:lang w:val="ru-RU"/>
              </w:rPr>
              <w:t xml:space="preserve">История возникновения банков. Роль банков в создании и функционировании рынка капитала. Структура современной банковской системы и ее функции. Виды банковских организаций.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jc w:val="center"/>
              <w:spacing w:before="165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0"/>
              <w:ind w:left="116" w:right="116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ОК 01,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03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699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21" w:type="dxa"/>
            <w:vMerge w:val="restart"/>
            <w:textDirection w:val="lrTb"/>
            <w:noWrap w:val="false"/>
          </w:tcPr>
          <w:p>
            <w:pPr>
              <w:pStyle w:val="900"/>
              <w:ind w:left="110" w:right="96"/>
              <w:jc w:val="both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pP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900"/>
              <w:ind w:left="110" w:right="98"/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  <w:t xml:space="preserve"> </w:t>
            </w:r>
            <w:r>
              <w:t xml:space="preserve">Понятие</w:t>
            </w:r>
            <w:r>
              <w:t xml:space="preserve"> </w:t>
            </w:r>
            <w:r>
              <w:t xml:space="preserve">ключевой</w:t>
            </w:r>
            <w:r>
              <w:t xml:space="preserve"> </w:t>
            </w:r>
            <w:r>
              <w:t xml:space="preserve">ставки</w:t>
            </w:r>
            <w:r>
              <w:t xml:space="preserve">. </w:t>
            </w:r>
            <w:r>
              <w:t xml:space="preserve">Правовые</w:t>
            </w:r>
            <w:r>
              <w:t xml:space="preserve"> </w:t>
            </w:r>
            <w:r>
              <w:t xml:space="preserve">основы</w:t>
            </w:r>
            <w:r>
              <w:t xml:space="preserve"> </w:t>
            </w:r>
            <w:r>
              <w:t xml:space="preserve">банковской</w:t>
            </w:r>
            <w:r>
              <w:t xml:space="preserve"> </w:t>
            </w:r>
            <w:r>
              <w:t xml:space="preserve">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00"/>
              <w:jc w:val="center"/>
              <w:spacing w:before="165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00"/>
              <w:ind w:left="105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94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900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4"/>
                <w:lang w:val="ru-RU"/>
              </w:rPr>
              <w:t xml:space="preserve">2.2.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ind w:left="110" w:right="90"/>
              <w:spacing w:before="1"/>
              <w:tabs>
                <w:tab w:val="left" w:pos="2010" w:leader="none"/>
              </w:tabs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Основные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4"/>
                <w:lang w:val="ru-RU"/>
              </w:rPr>
              <w:t xml:space="preserve">виды </w:t>
            </w:r>
            <w:r>
              <w:rPr>
                <w:b/>
                <w:lang w:val="ru-RU"/>
              </w:rPr>
              <w:t xml:space="preserve">банковских операций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</w:pPr>
            <w:r/>
            <w:r/>
          </w:p>
        </w:tc>
      </w:tr>
      <w:tr>
        <w:tblPrEx/>
        <w:trPr>
          <w:trHeight w:val="835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 w:right="9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Депозит и его виды. Экономическая сущность понятий: сбережения, депозитная карта, вкладчик, индекс потребительских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цен,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инфляция,</w:t>
            </w:r>
            <w:r>
              <w:rPr>
                <w:spacing w:val="21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номинальная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реальная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before="164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  <w:ind w:right="470"/>
              <w:jc w:val="right"/>
              <w:spacing w:before="1"/>
              <w:rPr>
                <w:b/>
              </w:rPr>
            </w:pPr>
            <w:r>
              <w:rPr>
                <w:b/>
              </w:rPr>
              <w:t xml:space="preserve">ОК 01,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03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896"/>
        <w:spacing w:before="46"/>
        <w:rPr>
          <w:b/>
          <w:sz w:val="20"/>
        </w:rPr>
      </w:pPr>
      <w:r>
        <w:rPr>
          <w:b/>
          <w:sz w:val="20"/>
          <w:lang w:eastAsia="ru-RU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rPr>
          <w:sz w:val="20"/>
        </w:rPr>
        <w:sectPr>
          <w:footerReference w:type="default" r:id="rId10"/>
          <w:footnotePr/>
          <w:endnotePr/>
          <w:type w:val="nextPage"/>
          <w:pgSz w:w="16840" w:h="11910" w:orient="landscape"/>
          <w:pgMar w:top="760" w:right="1275" w:bottom="280" w:left="850" w:header="0" w:footer="0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Style w:val="899"/>
        <w:tblW w:w="15276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8521"/>
        <w:gridCol w:w="1842"/>
        <w:gridCol w:w="2268"/>
      </w:tblGrid>
      <w:tr>
        <w:tblPrEx/>
        <w:trPr>
          <w:trHeight w:val="508"/>
        </w:trPr>
        <w:tc>
          <w:tcPr>
            <w:tcW w:w="2645" w:type="dxa"/>
            <w:textDirection w:val="lrTb"/>
            <w:noWrap w:val="false"/>
          </w:tcPr>
          <w:p>
            <w:pPr>
              <w:pStyle w:val="900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ставки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депозиту,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капитализация,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ликвидность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489"/>
        </w:trPr>
        <w:tc>
          <w:tcPr>
            <w:gridSpan w:val="2"/>
            <w:tcW w:w="11166" w:type="dxa"/>
            <w:textDirection w:val="lrTb"/>
            <w:noWrap w:val="false"/>
          </w:tcPr>
          <w:p>
            <w:pPr>
              <w:pStyle w:val="900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3.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Налоговая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система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Российской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Федерации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</w:pPr>
            <w:r/>
            <w:r/>
          </w:p>
        </w:tc>
      </w:tr>
      <w:tr>
        <w:tblPrEx/>
        <w:trPr>
          <w:trHeight w:val="493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900"/>
              <w:ind w:left="110" w:right="758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3.1.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Система налогообложения </w:t>
            </w:r>
            <w:r>
              <w:rPr>
                <w:b/>
                <w:lang w:val="ru-RU"/>
              </w:rPr>
              <w:t xml:space="preserve">физических лиц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</w:pPr>
            <w:r/>
            <w:r/>
          </w:p>
        </w:tc>
      </w:tr>
      <w:tr>
        <w:tblPrEx/>
        <w:trPr>
          <w:trHeight w:val="1345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 w:right="9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Экономическая сущность понятия налог. Субъект, объект и предмет налогообложения. Принципы построения налоговой системы, ее структура и функции. Классификация налогов по уровню управления.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</w:pPr>
            <w:r/>
            <w:r/>
          </w:p>
          <w:p>
            <w:pPr>
              <w:pStyle w:val="900"/>
              <w:spacing w:before="124"/>
            </w:pPr>
            <w:r/>
            <w:r/>
          </w:p>
          <w:p>
            <w:pPr>
              <w:pStyle w:val="900"/>
              <w:ind w:left="116" w:right="116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  <w:ind w:left="146" w:right="139"/>
              <w:jc w:val="center"/>
              <w:spacing w:line="249" w:lineRule="exact"/>
              <w:rPr>
                <w:b/>
              </w:rPr>
            </w:pPr>
            <w:r>
              <w:rPr>
                <w:b/>
              </w:rPr>
              <w:t xml:space="preserve">ОК 01,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03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124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21" w:type="dxa"/>
            <w:vMerge w:val="restart"/>
            <w:textDirection w:val="lrTb"/>
            <w:noWrap w:val="false"/>
          </w:tcPr>
          <w:p>
            <w:pPr>
              <w:pStyle w:val="900"/>
              <w:ind w:left="110" w:right="96"/>
              <w:jc w:val="both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pP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900"/>
              <w:ind w:left="110" w:right="9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Виды налогов для физических лиц. Налоговая декларация. Налоговые</w:t>
            </w:r>
            <w:r>
              <w:rPr>
                <w:spacing w:val="43"/>
                <w:lang w:val="ru-RU"/>
              </w:rPr>
              <w:t xml:space="preserve"> </w:t>
            </w:r>
            <w:r>
              <w:rPr>
                <w:lang w:val="ru-RU"/>
              </w:rPr>
              <w:t xml:space="preserve">льготы</w:t>
            </w:r>
            <w:r>
              <w:rPr>
                <w:spacing w:val="5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47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налоговые</w:t>
            </w:r>
            <w:r>
              <w:rPr>
                <w:spacing w:val="4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вычеты</w:t>
            </w:r>
            <w:r>
              <w:rPr>
                <w:spacing w:val="51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5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физических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0"/>
              <w:ind w:left="110"/>
              <w:spacing w:line="239" w:lineRule="exact"/>
            </w:pPr>
            <w:r>
              <w:rPr>
                <w:spacing w:val="-5"/>
              </w:rPr>
              <w:t xml:space="preserve">лиц</w:t>
            </w:r>
            <w:r/>
          </w:p>
          <w:p>
            <w:pPr>
              <w:pStyle w:val="900"/>
              <w:ind w:left="110" w:right="98"/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00"/>
              <w:jc w:val="center"/>
            </w:pPr>
            <w:r>
              <w:t xml:space="preserve">4</w:t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00"/>
              <w:ind w:left="146" w:right="139"/>
              <w:jc w:val="center"/>
              <w:spacing w:line="249" w:lineRule="exac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503"/>
        </w:trPr>
        <w:tc>
          <w:tcPr>
            <w:gridSpan w:val="2"/>
            <w:tcW w:w="11166" w:type="dxa"/>
            <w:textDirection w:val="lrTb"/>
            <w:noWrap w:val="false"/>
          </w:tcPr>
          <w:p>
            <w:pPr>
              <w:pStyle w:val="900"/>
              <w:ind w:left="110"/>
              <w:spacing w:line="24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4.</w:t>
            </w:r>
            <w:r>
              <w:rPr>
                <w:b/>
                <w:spacing w:val="1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Инвестиции:</w:t>
            </w:r>
            <w:r>
              <w:rPr>
                <w:b/>
                <w:spacing w:val="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формирование</w:t>
            </w:r>
            <w:r>
              <w:rPr>
                <w:b/>
                <w:spacing w:val="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стратегии</w:t>
            </w:r>
            <w:r>
              <w:rPr>
                <w:b/>
                <w:spacing w:val="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инвестирования</w:t>
            </w:r>
            <w:r>
              <w:rPr>
                <w:b/>
                <w:spacing w:val="1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8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инструменты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ind w:left="110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для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ее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 xml:space="preserve">реализации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before="1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</w:pPr>
            <w:r/>
            <w:r/>
          </w:p>
        </w:tc>
      </w:tr>
      <w:tr>
        <w:tblPrEx/>
        <w:trPr>
          <w:trHeight w:val="489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900"/>
              <w:ind w:left="110" w:right="205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  <w:t xml:space="preserve"> 4.1. </w:t>
            </w:r>
            <w:r>
              <w:rPr>
                <w:b/>
                <w:spacing w:val="-2"/>
              </w:rPr>
              <w:t xml:space="preserve">Формирование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стратегии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инвестирования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</w:pPr>
            <w:r/>
            <w:r/>
          </w:p>
        </w:tc>
      </w:tr>
      <w:tr>
        <w:tblPrEx/>
        <w:trPr>
          <w:trHeight w:val="812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 w:right="9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Сущность и значение инвестиций. Участники, субъекты и объекты инвестиционного процесса. Реальные и финансовые инвестиции и их классификация. Валютная и фондовая биржи.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</w:pPr>
            <w:r/>
            <w:r/>
          </w:p>
          <w:p>
            <w:pPr>
              <w:pStyle w:val="900"/>
              <w:spacing w:before="128"/>
            </w:pPr>
            <w:r/>
            <w:r/>
          </w:p>
          <w:p>
            <w:pPr>
              <w:pStyle w:val="900"/>
              <w:ind w:left="116" w:right="116"/>
              <w:jc w:val="center"/>
              <w:spacing w:before="1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01,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03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473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21" w:type="dxa"/>
            <w:vMerge w:val="restart"/>
            <w:textDirection w:val="lrTb"/>
            <w:noWrap w:val="false"/>
          </w:tcPr>
          <w:p>
            <w:pPr>
              <w:pStyle w:val="900"/>
              <w:ind w:left="110" w:right="96"/>
              <w:jc w:val="both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pP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900"/>
              <w:ind w:left="110" w:right="9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Инвестиционный портфель. Паевые инвестиционные</w:t>
            </w:r>
            <w:r>
              <w:rPr>
                <w:spacing w:val="76"/>
                <w:lang w:val="ru-RU"/>
              </w:rPr>
              <w:t xml:space="preserve">   </w:t>
            </w:r>
            <w:r>
              <w:rPr>
                <w:lang w:val="ru-RU"/>
              </w:rPr>
              <w:t xml:space="preserve">фонды</w:t>
            </w:r>
            <w:r>
              <w:rPr>
                <w:spacing w:val="78"/>
                <w:lang w:val="ru-RU"/>
              </w:rPr>
              <w:t xml:space="preserve">   </w:t>
            </w:r>
            <w:r>
              <w:rPr>
                <w:lang w:val="ru-RU"/>
              </w:rPr>
              <w:t xml:space="preserve">(</w:t>
            </w:r>
            <w:r>
              <w:rPr>
                <w:lang w:val="ru-RU"/>
              </w:rPr>
              <w:t xml:space="preserve">ПИФы</w:t>
            </w:r>
            <w:r>
              <w:rPr>
                <w:lang w:val="ru-RU"/>
              </w:rPr>
              <w:t xml:space="preserve">)</w:t>
            </w:r>
            <w:r>
              <w:rPr>
                <w:spacing w:val="79"/>
                <w:lang w:val="ru-RU"/>
              </w:rPr>
              <w:t xml:space="preserve">   </w:t>
            </w:r>
            <w:r>
              <w:rPr>
                <w:lang w:val="ru-RU"/>
              </w:rPr>
              <w:t xml:space="preserve">как</w:t>
            </w:r>
            <w:r>
              <w:rPr>
                <w:spacing w:val="77"/>
                <w:lang w:val="ru-RU"/>
              </w:rPr>
              <w:t xml:space="preserve">   </w:t>
            </w:r>
            <w:r>
              <w:rPr>
                <w:spacing w:val="-2"/>
                <w:lang w:val="ru-RU"/>
              </w:rPr>
              <w:t xml:space="preserve">способ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0"/>
              <w:ind w:left="110" w:right="100"/>
              <w:jc w:val="both"/>
              <w:spacing w:line="250" w:lineRule="exact"/>
            </w:pPr>
            <w:r>
              <w:rPr>
                <w:lang w:val="ru-RU"/>
              </w:rPr>
              <w:t xml:space="preserve">инвестирования денежных средств физических лиц. </w:t>
            </w:r>
            <w:r>
              <w:t xml:space="preserve">Финансовые</w:t>
            </w:r>
            <w:r>
              <w:t xml:space="preserve"> </w:t>
            </w:r>
            <w:r>
              <w:t xml:space="preserve">пирамиды</w:t>
            </w:r>
            <w:r>
              <w:t xml:space="preserve">. </w:t>
            </w:r>
            <w:r>
              <w:t xml:space="preserve">Криптовалюта</w:t>
            </w:r>
            <w:r>
              <w:rPr>
                <w:lang w:val="ru-RU"/>
              </w:rPr>
            </w:r>
            <w:r/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00"/>
              <w:jc w:val="center"/>
            </w:pPr>
            <w:r>
              <w:t xml:space="preserve">4</w:t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00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93"/>
        </w:trPr>
        <w:tc>
          <w:tcPr>
            <w:gridSpan w:val="2"/>
            <w:tcW w:w="11166" w:type="dxa"/>
            <w:textDirection w:val="lrTb"/>
            <w:noWrap w:val="false"/>
          </w:tcPr>
          <w:p>
            <w:pPr>
              <w:pStyle w:val="900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5. </w:t>
            </w:r>
            <w:r>
              <w:rPr>
                <w:b/>
                <w:spacing w:val="-2"/>
              </w:rPr>
              <w:t xml:space="preserve">Страхование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</w:pPr>
            <w:r/>
            <w:r/>
          </w:p>
        </w:tc>
      </w:tr>
      <w:tr>
        <w:tblPrEx/>
        <w:trPr>
          <w:trHeight w:val="489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900"/>
              <w:ind w:left="110"/>
              <w:jc w:val="both"/>
              <w:spacing w:before="1" w:line="252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4"/>
                <w:lang w:val="ru-RU"/>
              </w:rPr>
              <w:t xml:space="preserve">5.1.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ind w:left="110" w:right="9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Структура страхового рынка в Российской Федерации и виды страховых услуг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</w:pPr>
            <w:r/>
            <w:r/>
          </w:p>
        </w:tc>
      </w:tr>
      <w:tr>
        <w:tblPrEx/>
        <w:trPr>
          <w:trHeight w:val="1377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 w:right="9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Экономическая сущность страхования. Функции и принципы страхования. </w:t>
            </w:r>
            <w:r>
              <w:rPr>
                <w:lang w:val="ru-RU"/>
              </w:rPr>
              <w:t xml:space="preserve">Основные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понятия в страховании: страховщик, страхователь, страховой брокер, страховой агент, договор страхования, страховой случай, страховой взнос, страховая премия, страховые продукты.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spacing w:before="189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0"/>
              <w:ind w:left="116" w:right="116"/>
              <w:jc w:val="center"/>
              <w:rPr>
                <w:b/>
              </w:rPr>
            </w:pPr>
            <w:r>
              <w:rPr>
                <w:b/>
                <w:spacing w:val="-10"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01,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03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94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900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4"/>
                <w:lang w:val="ru-RU"/>
              </w:rPr>
              <w:t xml:space="preserve">5.2.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00"/>
              <w:ind w:left="110" w:right="91"/>
              <w:spacing w:before="1"/>
              <w:tabs>
                <w:tab w:val="left" w:pos="1750" w:leader="none"/>
              </w:tabs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Пенсионное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страхование</w:t>
            </w:r>
            <w:r>
              <w:rPr>
                <w:b/>
                <w:spacing w:val="1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как</w:t>
            </w:r>
            <w:r>
              <w:rPr>
                <w:b/>
                <w:spacing w:val="2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форма </w:t>
            </w:r>
            <w:r>
              <w:rPr>
                <w:b/>
                <w:spacing w:val="-2"/>
                <w:lang w:val="ru-RU"/>
              </w:rPr>
              <w:t xml:space="preserve">социальной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2"/>
                <w:lang w:val="ru-RU"/>
              </w:rPr>
              <w:t xml:space="preserve">защиты населения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</w:pPr>
            <w:r/>
            <w:r/>
          </w:p>
        </w:tc>
      </w:tr>
      <w:tr>
        <w:tblPrEx/>
        <w:trPr>
          <w:trHeight w:val="1089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521" w:type="dxa"/>
            <w:textDirection w:val="lrTb"/>
            <w:noWrap w:val="false"/>
          </w:tcPr>
          <w:p>
            <w:pPr>
              <w:pStyle w:val="900"/>
              <w:ind w:left="110" w:right="98"/>
              <w:jc w:val="both"/>
            </w:pPr>
            <w:r>
              <w:rPr>
                <w:lang w:val="ru-RU"/>
              </w:rPr>
              <w:t xml:space="preserve">Государственная пенсионная система в России. Обязательное пенсионное страхование. Государственное пенсионное обеспечение. 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00"/>
              <w:spacing w:before="36"/>
            </w:pPr>
            <w:r/>
            <w:r/>
          </w:p>
          <w:p>
            <w:pPr>
              <w:pStyle w:val="900"/>
              <w:ind w:left="116" w:right="116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00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01,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03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774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21" w:type="dxa"/>
            <w:vMerge w:val="restart"/>
            <w:textDirection w:val="lrTb"/>
            <w:noWrap w:val="false"/>
          </w:tcPr>
          <w:p>
            <w:pPr>
              <w:pStyle w:val="900"/>
              <w:ind w:left="110" w:right="96"/>
              <w:jc w:val="both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pP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900"/>
              <w:ind w:left="110" w:right="96"/>
              <w:spacing w:line="242" w:lineRule="auto"/>
              <w:tabs>
                <w:tab w:val="left" w:pos="5007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>
              <w:t xml:space="preserve">Пенсионный</w:t>
            </w:r>
            <w:r>
              <w:t xml:space="preserve"> </w:t>
            </w:r>
            <w:r>
              <w:t xml:space="preserve">фонд</w:t>
            </w:r>
            <w:r>
              <w:t xml:space="preserve"> </w:t>
            </w:r>
            <w:r>
              <w:t xml:space="preserve">Российской</w:t>
            </w:r>
            <w:r>
              <w:t xml:space="preserve"> </w:t>
            </w:r>
            <w:r>
              <w:t xml:space="preserve">Федерации</w:t>
            </w:r>
            <w:r>
              <w:t xml:space="preserve">,</w:t>
            </w:r>
            <w:r>
              <w:rPr>
                <w:spacing w:val="66"/>
              </w:rPr>
              <w:t xml:space="preserve"> </w:t>
            </w:r>
            <w:r>
              <w:t xml:space="preserve">негосударственный</w:t>
            </w:r>
            <w:r>
              <w:rPr>
                <w:spacing w:val="63"/>
              </w:rPr>
              <w:t xml:space="preserve"> </w:t>
            </w:r>
            <w:r>
              <w:t xml:space="preserve">пенсионный</w:t>
            </w:r>
            <w:r>
              <w:rPr>
                <w:spacing w:val="66"/>
              </w:rPr>
              <w:t xml:space="preserve"> </w:t>
            </w:r>
            <w:r>
              <w:t xml:space="preserve">фонд</w:t>
            </w:r>
            <w:r>
              <w:rPr>
                <w:spacing w:val="64"/>
              </w:rPr>
              <w:t xml:space="preserve"> </w:t>
            </w:r>
            <w:r>
              <w:t xml:space="preserve">и</w:t>
            </w:r>
            <w:r>
              <w:rPr>
                <w:spacing w:val="66"/>
              </w:rPr>
              <w:t xml:space="preserve"> </w:t>
            </w:r>
            <w:r>
              <w:rPr>
                <w:spacing w:val="-5"/>
              </w:rPr>
              <w:t xml:space="preserve">их </w:t>
            </w:r>
            <w:r>
              <w:rPr>
                <w:lang w:val="ru-RU"/>
              </w:rPr>
              <w:t xml:space="preserve">функции.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Пенсионные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накопления.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Страховые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взносы. </w:t>
            </w:r>
            <w:r>
              <w:rPr>
                <w:spacing w:val="-4"/>
                <w:lang w:val="ru-RU"/>
              </w:rPr>
              <w:t xml:space="preserve">Виды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пенсий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0"/>
              <w:ind w:left="110"/>
              <w:spacing w:line="231" w:lineRule="exact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инструменты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увеличению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пенсионных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накоплений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0"/>
              <w:ind w:left="110" w:right="98"/>
              <w:jc w:val="both"/>
              <w:rPr>
                <w:lang w:val="ru-RU"/>
              </w:rPr>
            </w:pPr>
            <w:r>
              <w:rPr>
                <w:spacing w:val="-5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00"/>
              <w:jc w:val="center"/>
              <w:spacing w:before="36"/>
            </w:pPr>
            <w:r>
              <w:t xml:space="preserve">5</w:t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00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774"/>
        </w:trPr>
        <w:tc>
          <w:tcPr>
            <w:tcBorders>
              <w:top w:val="none" w:color="000000" w:sz="4" w:space="0"/>
            </w:tcBorders>
            <w:tcW w:w="2645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8521" w:type="dxa"/>
            <w:vMerge w:val="restart"/>
            <w:textDirection w:val="lrTb"/>
            <w:noWrap w:val="false"/>
          </w:tcPr>
          <w:p>
            <w:pPr>
              <w:pStyle w:val="900"/>
              <w:ind w:left="110"/>
              <w:jc w:val="both"/>
              <w:spacing w:before="1" w:line="251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 xml:space="preserve">работа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0"/>
              <w:numPr>
                <w:ilvl w:val="0"/>
                <w:numId w:val="5"/>
              </w:numPr>
              <w:ind w:right="106" w:firstLine="0"/>
              <w:jc w:val="both"/>
              <w:tabs>
                <w:tab w:val="left" w:pos="335" w:leader="none"/>
              </w:tabs>
            </w:pPr>
            <w:r>
              <w:rPr>
                <w:lang w:val="ru-RU"/>
              </w:rPr>
              <w:t xml:space="preserve">Ограниченность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ресурсов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проблема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выбора.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Понятие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планирования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его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виды: краткосрочное, среднесрочное и долгосрочное. </w:t>
            </w:r>
            <w:r>
              <w:t xml:space="preserve">SWOT – </w:t>
            </w:r>
            <w:r>
              <w:t xml:space="preserve">анализ</w:t>
            </w:r>
            <w:r>
              <w:t xml:space="preserve">.</w:t>
            </w:r>
            <w:r/>
          </w:p>
          <w:p>
            <w:pPr>
              <w:pStyle w:val="900"/>
              <w:ind w:left="110" w:right="101"/>
              <w:jc w:val="both"/>
            </w:pPr>
            <w:r>
              <w:rPr>
                <w:lang w:val="ru-RU"/>
              </w:rPr>
              <w:t xml:space="preserve">Основные законодательные акты, регламентирующие вопросы финансовой грамотности в Российской Федерации. </w:t>
            </w:r>
            <w:r>
              <w:t xml:space="preserve">Международный</w:t>
            </w:r>
            <w:r>
              <w:t xml:space="preserve"> </w:t>
            </w:r>
            <w:r>
              <w:t xml:space="preserve">опыт</w:t>
            </w:r>
            <w:r>
              <w:t xml:space="preserve"> </w:t>
            </w:r>
            <w:r>
              <w:t xml:space="preserve">повышения</w:t>
            </w:r>
            <w:r>
              <w:t xml:space="preserve"> </w:t>
            </w:r>
            <w:r>
              <w:t xml:space="preserve">уровня</w:t>
            </w:r>
            <w:r>
              <w:t xml:space="preserve"> </w:t>
            </w:r>
            <w:r>
              <w:t xml:space="preserve">финансовой</w:t>
            </w:r>
            <w:r>
              <w:t xml:space="preserve"> </w:t>
            </w:r>
            <w:r>
              <w:t xml:space="preserve">грамотности</w:t>
            </w:r>
            <w:r>
              <w:t xml:space="preserve"> </w:t>
            </w:r>
            <w:r>
              <w:t xml:space="preserve">населения</w:t>
            </w:r>
            <w:r>
              <w:t xml:space="preserve">.</w:t>
            </w:r>
            <w:r/>
          </w:p>
          <w:p>
            <w:pPr>
              <w:pStyle w:val="900"/>
              <w:numPr>
                <w:ilvl w:val="0"/>
                <w:numId w:val="5"/>
              </w:numPr>
              <w:ind w:right="100" w:firstLine="0"/>
              <w:jc w:val="both"/>
              <w:tabs>
                <w:tab w:val="left" w:pos="363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Кредит и его виды. Принципы кредитования. Виды схем погашения платежей по кредиту. Содержание основных понятий банковских операций: заемщик, кредитор, кредитная история, кредитный договор, </w:t>
            </w:r>
            <w:r>
              <w:rPr>
                <w:lang w:val="ru-RU"/>
              </w:rPr>
              <w:t xml:space="preserve">микрофинансовые</w:t>
            </w:r>
            <w:r>
              <w:rPr>
                <w:lang w:val="ru-RU"/>
              </w:rPr>
              <w:t xml:space="preserve"> организации, кредитные </w:t>
            </w:r>
            <w:r>
              <w:rPr>
                <w:spacing w:val="-2"/>
                <w:lang w:val="ru-RU"/>
              </w:rPr>
              <w:t xml:space="preserve">риски.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0"/>
              <w:numPr>
                <w:ilvl w:val="0"/>
                <w:numId w:val="5"/>
              </w:numPr>
              <w:ind w:right="111" w:firstLine="0"/>
              <w:jc w:val="both"/>
              <w:tabs>
                <w:tab w:val="left" w:pos="277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Расчетно-кассовые операции и их значение. Виды платежных средств: чеки, электронные деньги, банковская ячейка, денежные переводы, овердрафт.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0"/>
              <w:numPr>
                <w:ilvl w:val="0"/>
                <w:numId w:val="5"/>
              </w:numPr>
              <w:ind w:right="97" w:firstLine="0"/>
              <w:jc w:val="both"/>
              <w:spacing w:before="3" w:line="237" w:lineRule="auto"/>
              <w:tabs>
                <w:tab w:val="left" w:pos="277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Риски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интернет-банкинга.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Финансовое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мошенничество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правила личной финансовой безопасности.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0"/>
              <w:numPr>
                <w:ilvl w:val="0"/>
                <w:numId w:val="5"/>
              </w:numPr>
              <w:ind w:right="106" w:firstLine="0"/>
              <w:jc w:val="both"/>
              <w:spacing w:before="1"/>
              <w:tabs>
                <w:tab w:val="left" w:pos="445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Виды ценных бумаг: акции, облигации, векселя. Производные финансовые инструменты: фьючерс, опцион.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0"/>
              <w:numPr>
                <w:ilvl w:val="0"/>
                <w:numId w:val="5"/>
              </w:numPr>
              <w:ind w:left="335" w:hanging="225"/>
              <w:jc w:val="both"/>
              <w:spacing w:before="3" w:line="251" w:lineRule="exact"/>
              <w:tabs>
                <w:tab w:val="left" w:pos="335" w:leader="none"/>
              </w:tabs>
            </w:pPr>
            <w:r>
              <w:t xml:space="preserve">Понятие</w:t>
            </w:r>
            <w:r>
              <w:rPr>
                <w:spacing w:val="-12"/>
              </w:rPr>
              <w:t xml:space="preserve"> </w:t>
            </w:r>
            <w:r>
              <w:t xml:space="preserve">доходности</w:t>
            </w:r>
            <w:r>
              <w:rPr>
                <w:spacing w:val="-6"/>
              </w:rPr>
              <w:t xml:space="preserve"> </w:t>
            </w:r>
            <w:r>
              <w:t xml:space="preserve">ценных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бумаг</w:t>
            </w:r>
            <w:r>
              <w:rPr>
                <w:spacing w:val="-2"/>
              </w:rPr>
              <w:t xml:space="preserve">.</w:t>
            </w:r>
            <w:r/>
          </w:p>
          <w:p>
            <w:pPr>
              <w:pStyle w:val="900"/>
              <w:numPr>
                <w:ilvl w:val="0"/>
                <w:numId w:val="5"/>
              </w:numPr>
              <w:ind w:right="101" w:firstLine="0"/>
              <w:jc w:val="both"/>
              <w:tabs>
                <w:tab w:val="left" w:pos="440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Личное финансовое планирование. Личный и семейный бюджеты. Понятие предпринимательской деятельности.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0"/>
              <w:numPr>
                <w:ilvl w:val="0"/>
                <w:numId w:val="5"/>
              </w:numPr>
              <w:ind w:right="101" w:firstLine="0"/>
              <w:jc w:val="both"/>
              <w:spacing w:before="4" w:line="237" w:lineRule="auto"/>
              <w:tabs>
                <w:tab w:val="left" w:pos="402" w:leader="none"/>
              </w:tabs>
            </w:pPr>
            <w:r>
              <w:rPr>
                <w:lang w:val="ru-RU"/>
              </w:rPr>
              <w:t xml:space="preserve">Стартап</w:t>
            </w:r>
            <w:r>
              <w:rPr>
                <w:lang w:val="ru-RU"/>
              </w:rPr>
              <w:t xml:space="preserve">, бизнес-идея, бизнес-инкубатор. Основные понятия и разделы бизнес- плана. </w:t>
            </w:r>
            <w:r>
              <w:t xml:space="preserve">Период</w:t>
            </w:r>
            <w:r>
              <w:t xml:space="preserve"> </w:t>
            </w:r>
            <w:r>
              <w:t xml:space="preserve">окупаемости</w:t>
            </w:r>
            <w:r>
              <w:t xml:space="preserve">.</w:t>
            </w:r>
            <w:r/>
          </w:p>
          <w:p>
            <w:pPr>
              <w:pStyle w:val="900"/>
              <w:numPr>
                <w:ilvl w:val="0"/>
                <w:numId w:val="5"/>
              </w:numPr>
              <w:ind w:right="103" w:firstLine="0"/>
              <w:jc w:val="both"/>
              <w:spacing w:before="1"/>
              <w:tabs>
                <w:tab w:val="left" w:pos="435" w:leader="none"/>
              </w:tabs>
            </w:pPr>
            <w:r>
              <w:rPr>
                <w:lang w:val="ru-RU"/>
              </w:rPr>
              <w:t xml:space="preserve">Виды страхования: страхование жизни, страхование от несчастных случаев, медицинское страхование, страхование имущества, страхование гражданской ответственности. </w:t>
            </w:r>
            <w:r>
              <w:t xml:space="preserve">Страховые</w:t>
            </w:r>
            <w:r>
              <w:t xml:space="preserve"> </w:t>
            </w:r>
            <w:r>
              <w:t xml:space="preserve">риски</w:t>
            </w:r>
            <w:r>
              <w:t xml:space="preserve">.</w:t>
            </w:r>
            <w:r/>
          </w:p>
          <w:p>
            <w:pPr>
              <w:pStyle w:val="900"/>
              <w:numPr>
                <w:ilvl w:val="0"/>
                <w:numId w:val="5"/>
              </w:numPr>
              <w:ind w:right="104" w:firstLine="0"/>
              <w:jc w:val="both"/>
              <w:spacing w:line="254" w:lineRule="exact"/>
              <w:tabs>
                <w:tab w:val="left" w:pos="83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Пенсионные</w:t>
            </w:r>
            <w:r>
              <w:rPr>
                <w:spacing w:val="80"/>
                <w:lang w:val="ru-RU"/>
              </w:rPr>
              <w:t xml:space="preserve">   </w:t>
            </w:r>
            <w:r>
              <w:rPr>
                <w:lang w:val="ru-RU"/>
              </w:rPr>
              <w:t xml:space="preserve">накопления.</w:t>
            </w:r>
            <w:r>
              <w:rPr>
                <w:spacing w:val="80"/>
                <w:lang w:val="ru-RU"/>
              </w:rPr>
              <w:t xml:space="preserve">   </w:t>
            </w:r>
            <w:r>
              <w:rPr>
                <w:lang w:val="ru-RU"/>
              </w:rPr>
              <w:t xml:space="preserve">Страховые</w:t>
            </w:r>
            <w:r>
              <w:rPr>
                <w:spacing w:val="80"/>
                <w:lang w:val="ru-RU"/>
              </w:rPr>
              <w:t xml:space="preserve">   </w:t>
            </w:r>
            <w:r>
              <w:rPr>
                <w:lang w:val="ru-RU"/>
              </w:rPr>
              <w:t xml:space="preserve">взносы.</w:t>
            </w:r>
            <w:r>
              <w:rPr>
                <w:spacing w:val="80"/>
                <w:lang w:val="ru-RU"/>
              </w:rPr>
              <w:t xml:space="preserve">   </w:t>
            </w:r>
            <w:r>
              <w:rPr>
                <w:lang w:val="ru-RU"/>
              </w:rPr>
              <w:t xml:space="preserve">Виды</w:t>
            </w:r>
            <w:r>
              <w:rPr>
                <w:spacing w:val="80"/>
                <w:lang w:val="ru-RU"/>
              </w:rPr>
              <w:t xml:space="preserve">   </w:t>
            </w:r>
            <w:r>
              <w:rPr>
                <w:lang w:val="ru-RU"/>
              </w:rPr>
              <w:t xml:space="preserve">пенсий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инструменты по увеличению пенсионных накоплений.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0"/>
              <w:ind w:left="110" w:right="96"/>
              <w:jc w:val="both"/>
              <w:shd w:val="clear" w:color="ffffff" w:themeColor="background1" w:fill="ffffff" w:themeFill="background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00"/>
              <w:jc w:val="center"/>
              <w:spacing w:before="36"/>
            </w:pPr>
            <w:r>
              <w:t xml:space="preserve">4</w:t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00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none" w:color="000000" w:sz="4" w:space="0"/>
            </w:tcBorders>
            <w:tcW w:w="11166" w:type="dxa"/>
            <w:vMerge w:val="restart"/>
            <w:textDirection w:val="lrTb"/>
            <w:noWrap w:val="false"/>
          </w:tcPr>
          <w:p>
            <w:pPr>
              <w:pStyle w:val="900"/>
              <w:ind w:left="110"/>
              <w:jc w:val="both"/>
              <w:spacing w:before="1" w:line="251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 xml:space="preserve">Промежуточная аттестация в форме дифференцированного зачета</w:t>
            </w:r>
            <w:r>
              <w:rPr>
                <w:b/>
                <w:spacing w:val="-2"/>
              </w:rPr>
            </w:r>
            <w:r>
              <w:rPr>
                <w:b/>
                <w:spacing w:val="-2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00"/>
              <w:jc w:val="center"/>
              <w:spacing w:before="36"/>
            </w:pPr>
            <w:r/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00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none" w:color="000000" w:sz="4" w:space="0"/>
            </w:tcBorders>
            <w:tcW w:w="11166" w:type="dxa"/>
            <w:vMerge w:val="restart"/>
            <w:textDirection w:val="lrTb"/>
            <w:noWrap w:val="false"/>
          </w:tcPr>
          <w:p>
            <w:pPr>
              <w:pStyle w:val="900"/>
              <w:ind w:left="110"/>
              <w:jc w:val="both"/>
              <w:spacing w:before="1" w:line="251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 xml:space="preserve">Итого</w:t>
            </w:r>
            <w:r>
              <w:rPr>
                <w:b/>
                <w:spacing w:val="-2"/>
              </w:rPr>
            </w:r>
            <w:r>
              <w:rPr>
                <w:b/>
                <w:spacing w:val="-2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00"/>
              <w:jc w:val="center"/>
              <w:spacing w:before="36"/>
            </w:pPr>
            <w:r>
              <w:t xml:space="preserve">36</w:t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00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900"/>
        <w:sectPr>
          <w:footerReference w:type="default" r:id="rId11"/>
          <w:footnotePr/>
          <w:endnotePr/>
          <w:type w:val="nextPage"/>
          <w:pgSz w:w="16840" w:h="11910" w:orient="landscape"/>
          <w:pgMar w:top="820" w:right="1275" w:bottom="280" w:left="850" w:header="0" w:footer="0" w:gutter="0"/>
          <w:cols w:num="1" w:sep="0" w:space="720" w:equalWidth="1"/>
          <w:docGrid w:linePitch="360"/>
        </w:sectPr>
      </w:pPr>
      <w:r/>
      <w:r/>
    </w:p>
    <w:p>
      <w:pPr>
        <w:pStyle w:val="901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</w:t>
      </w:r>
      <w:r>
        <w:rPr>
          <w:rFonts w:ascii="Times New Roman" w:hAnsi="Times New Roman" w:cs="Times New Roman"/>
          <w:sz w:val="24"/>
          <w:szCs w:val="24"/>
        </w:rPr>
        <w:t xml:space="preserve">социально-гуманитарных дисциплин, </w:t>
      </w:r>
      <w:r>
        <w:rPr>
          <w:rStyle w:val="904"/>
          <w:rFonts w:ascii="Times New Roman" w:hAnsi="Times New Roman" w:cs="Times New Roman"/>
          <w:color w:val="000000"/>
          <w:sz w:val="24"/>
          <w:szCs w:val="24"/>
        </w:rPr>
        <w:t xml:space="preserve">оснащённый в соответствии с приложением 3 ОПОП-П</w:t>
      </w:r>
      <w:r>
        <w:rPr>
          <w:rStyle w:val="904"/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96"/>
        <w:ind w:left="140" w:right="136" w:firstLine="710"/>
        <w:jc w:val="both"/>
        <w:spacing w:before="36" w:line="276" w:lineRule="auto"/>
      </w:pPr>
      <w:r/>
      <w:r/>
    </w:p>
    <w:p>
      <w:pPr>
        <w:pStyle w:val="896"/>
        <w:spacing w:before="47"/>
      </w:pPr>
      <w:r/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t xml:space="preserve"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 Основные печатные и/или электронные издания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6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Жданова А.О., Савицкая Е.В. Финансовая грамотность: материалы для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Среднее профессиональное образование. – М.: ВАКО, 2020. – 400 с.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6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Финансовая грамотность: 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4-е изд. стер. М.:  Издательский центр «Академия», 2022. –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288 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6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Финансовая грамотность. Методические рекомендации : 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Издательский центр «Академия», 2020. –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 96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6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Финансовая грамотность. Практикум : 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Елисеева. – 2-е изд.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Издательский центр «Академия», 2022. –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128 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6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Флицлер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А.В. Основы финансовой грамотности: учебное пособие для среднего профессионального образования / А.В.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Флицлер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Е.А. Тарханова. – Москва: Издательство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2022.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154 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b/>
          <w:bCs/>
          <w:iCs/>
          <w:sz w:val="24"/>
          <w:szCs w:val="24"/>
        </w:rPr>
      </w:pPr>
      <w:r>
        <w:rPr>
          <w:rStyle w:val="905"/>
          <w:b/>
          <w:bCs/>
          <w:iCs/>
          <w:sz w:val="24"/>
          <w:szCs w:val="24"/>
        </w:rPr>
        <w:t xml:space="preserve">3.2.2. Дополнительные источники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Купцова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Е.В. Бизнес-планирование: учебник и практикум для среднего профессионального образования/ Е. В.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Купцова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А. А. Степанов. — Москва: Издательство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2021.— 435 с. — (Профессиональное образование). — ISBN 978-5-534-11053-1. — Текст: электронный // ЭБС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[сайт]. — URL: </w:t>
      </w:r>
      <w:hyperlink r:id="rId13" w:tooltip="https://urait.ru/bcode/476085" w:history="1">
        <w:r>
          <w:rPr>
            <w:rStyle w:val="869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https://urait.ru/bcode/476085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Электронный учебно-методический комплекс «Финансовая грамотность»: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Елисеева, Е.Г. Метревели. – М.: Издательский центр «Академия», 2019.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Министерство финансов РФ [Электронный ресурс] – Режим доступа: </w:t>
      </w:r>
      <w:hyperlink r:id="rId14" w:tooltip="https://minfin.gov.ru/" w:history="1">
        <w:r>
          <w:rPr>
            <w:rStyle w:val="869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https://minfin.gov.ru/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Образовательные проекты ПАКК [Электронный ресурс] – Режим доступа: </w:t>
      </w:r>
      <w:hyperlink r:id="rId15" w:tooltip="http://www.edu.pacc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www.edu.pacc.ru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Пенсионный фонд РФ [Электронный ресурс] – Режим доступа: </w:t>
      </w:r>
      <w:hyperlink r:id="rId16" w:tooltip="http://www.pfr.gov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www.pfr.gov.ru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Персональный навигатор по финансам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Моифинансы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[Электронный ресурс] – Режим доступа: https: </w:t>
      </w:r>
      <w:hyperlink r:id="rId17" w:tooltip="https://моифинансы.рф/" w:history="1">
        <w:r>
          <w:rPr>
            <w:rStyle w:val="869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https://моифинансы.рф/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Роспотребнадзор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[Электронный ресурс] – Режим доступа: </w:t>
      </w:r>
      <w:hyperlink r:id="rId18" w:tooltip="http://www.rospotrebnadzor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www.rospotrebnadzor.ru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9" w:tooltip="http://www.fmc.hse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www.fmc.hse.ru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Центральный банк Российской Федерации [Электронный ресурс] – Режим доступа: </w:t>
      </w:r>
      <w:hyperlink r:id="rId20" w:tooltip="http://www.cbr.ru/" w:history="1">
        <w:r>
          <w:rPr>
            <w:rStyle w:val="869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</w:t>
        </w:r>
        <w:r>
          <w:rPr>
            <w:rStyle w:val="869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www.cbr.ru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Федеральная налоговая служба [Электронный ресурс] – Режим доступа: </w:t>
      </w:r>
      <w:hyperlink r:id="rId21" w:tooltip="http://www.nalog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www.nalog.ru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22" w:tooltip="http://iurr.ranepa.ru/centry/finlit/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http://iurr.ranepa.ru/centry/finlit/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Финансовая культура [Электронный ресурс] – Режим доступа: </w:t>
      </w:r>
      <w:hyperlink r:id="rId23" w:tooltip="https://fincult.info/" w:history="1">
        <w:r>
          <w:rPr>
            <w:rStyle w:val="869"/>
            <w:rFonts w:ascii="Times New Roman" w:hAnsi="Times New Roman" w:cs="Times New Roman"/>
            <w:sz w:val="24"/>
            <w:szCs w:val="24"/>
          </w:rPr>
          <w:t xml:space="preserve">https://fincult.info/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8"/>
        <w:numPr>
          <w:ilvl w:val="0"/>
          <w:numId w:val="7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Электронный учебник по финансовой грамотности. [Электронный ресурс] – Режим доступа: </w:t>
      </w:r>
      <w:hyperlink r:id="rId24" w:tooltip="https://школа.вашифинансы.рф/" w:history="1">
        <w:r>
          <w:rPr>
            <w:rStyle w:val="869"/>
            <w:rFonts w:ascii="Times New Roman" w:hAnsi="Times New Roman" w:cs="Times New Roman"/>
            <w:sz w:val="24"/>
            <w:szCs w:val="24"/>
          </w:rPr>
          <w:t xml:space="preserve">https://школа.вашифинансы.рф/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Нормативно-правовая база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1.</w:t>
      </w:r>
      <w:r>
        <w:rPr>
          <w:rStyle w:val="906"/>
          <w:rFonts w:eastAsia="Calibri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2.</w:t>
      </w:r>
      <w:r>
        <w:rPr>
          <w:rStyle w:val="906"/>
          <w:rFonts w:eastAsia="Calibri"/>
          <w:sz w:val="24"/>
          <w:szCs w:val="24"/>
        </w:rPr>
        <w:tab/>
        <w:t xml:space="preserve">Федеральный закон от 2 декабря 1990 г. № 395-1 «О банках и банковской деятельности».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3.</w:t>
      </w:r>
      <w:r>
        <w:rPr>
          <w:rStyle w:val="906"/>
          <w:rFonts w:eastAsia="Calibri"/>
          <w:sz w:val="24"/>
          <w:szCs w:val="24"/>
        </w:rPr>
        <w:tab/>
        <w:t xml:space="preserve">Федеральный закон от 22 апреля 1996 г. № 39-ФЗ «О рынке ценных бумаг».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4.</w:t>
      </w:r>
      <w:r>
        <w:rPr>
          <w:rStyle w:val="906"/>
          <w:rFonts w:eastAsia="Calibri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5.</w:t>
      </w:r>
      <w:r>
        <w:rPr>
          <w:rStyle w:val="906"/>
          <w:rFonts w:eastAsia="Calibri"/>
          <w:sz w:val="24"/>
          <w:szCs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6.</w:t>
      </w:r>
      <w:r>
        <w:rPr>
          <w:rStyle w:val="906"/>
          <w:rFonts w:eastAsia="Calibri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7.</w:t>
      </w:r>
      <w:r>
        <w:rPr>
          <w:rStyle w:val="906"/>
          <w:rFonts w:eastAsia="Calibri"/>
          <w:sz w:val="24"/>
          <w:szCs w:val="24"/>
        </w:rPr>
        <w:tab/>
        <w:t xml:space="preserve">Федеральный закон от 10 декабря 2003 г. № 173-ФЗ «О валютном регулировании и валютном контроле».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8.</w:t>
      </w:r>
      <w:r>
        <w:rPr>
          <w:rStyle w:val="906"/>
          <w:rFonts w:eastAsia="Calibri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9.</w:t>
      </w:r>
      <w:r>
        <w:rPr>
          <w:rStyle w:val="906"/>
          <w:rFonts w:eastAsia="Calibri"/>
          <w:sz w:val="24"/>
          <w:szCs w:val="24"/>
        </w:rPr>
        <w:tab/>
        <w:t xml:space="preserve">Федеральный закон от 30 декабря 2004 г. № 218-ФЗ «О кредитных историях».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10.</w:t>
      </w:r>
      <w:r>
        <w:rPr>
          <w:rStyle w:val="906"/>
          <w:rFonts w:eastAsia="Calibri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11.</w:t>
      </w:r>
      <w:r>
        <w:rPr>
          <w:rStyle w:val="906"/>
          <w:rFonts w:eastAsia="Calibri"/>
          <w:sz w:val="24"/>
          <w:szCs w:val="24"/>
        </w:rPr>
        <w:tab/>
        <w:t xml:space="preserve">Федеральный закон от 28 декабря 2013 г. № 400-ФЗ «О страховых пенсиях».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12.</w:t>
      </w:r>
      <w:r>
        <w:rPr>
          <w:rStyle w:val="906"/>
          <w:rFonts w:eastAsia="Calibri"/>
          <w:sz w:val="24"/>
          <w:szCs w:val="24"/>
        </w:rPr>
        <w:tab/>
        <w:t xml:space="preserve">Гражданский кодекс Российской Федерации. Ч. 2. Налоговый кодекс Российской Федерации. Ч. 2.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13.</w:t>
      </w:r>
      <w:r>
        <w:rPr>
          <w:rStyle w:val="906"/>
          <w:rFonts w:eastAsia="Calibri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906"/>
          <w:rFonts w:eastAsia="Calibri"/>
          <w:sz w:val="24"/>
          <w:szCs w:val="24"/>
        </w:rPr>
        <w:t xml:space="preserve">14.</w:t>
      </w:r>
      <w:r>
        <w:rPr>
          <w:rStyle w:val="906"/>
          <w:rFonts w:eastAsia="Calibri"/>
          <w:sz w:val="24"/>
          <w:szCs w:val="24"/>
        </w:rPr>
        <w:tab/>
        <w:t xml:space="preserve">Положение Банка России от 29 июня 2021 г. № 762-П «О правилах осуществления перевода денежных средств».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beforeAutospacing="0" w:after="0" w:afterAutospacing="0" w:line="273" w:lineRule="auto"/>
      </w:pPr>
      <w:r/>
      <w:r/>
    </w:p>
    <w:p>
      <w:pPr>
        <w:pStyle w:val="893"/>
        <w:ind w:firstLine="709"/>
        <w:jc w:val="both"/>
        <w:spacing w:before="0" w:beforeAutospacing="0" w:after="200" w:afterAutospacing="0" w:line="273" w:lineRule="auto"/>
      </w:pPr>
      <w:r>
        <w:rPr>
          <w:highlight w:val="none"/>
        </w:rPr>
      </w:r>
      <w:r/>
    </w:p>
    <w:p>
      <w:pPr>
        <w:pStyle w:val="893"/>
        <w:ind w:firstLine="709"/>
        <w:jc w:val="both"/>
        <w:spacing w:before="0" w:beforeAutospacing="0" w:after="200" w:afterAutospacing="0" w:line="273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00"/>
        <w:sectPr>
          <w:footerReference w:type="default" r:id="rId12"/>
          <w:footnotePr/>
          <w:endnotePr/>
          <w:type w:val="nextPage"/>
          <w:pgSz w:w="11910" w:h="16840" w:orient="portrait"/>
          <w:pgMar w:top="280" w:right="1559" w:bottom="1100" w:left="708" w:header="0" w:footer="0" w:gutter="0"/>
          <w:cols w:num="1" w:sep="0" w:space="720" w:equalWidth="1"/>
          <w:docGrid w:linePitch="360"/>
        </w:sectPr>
      </w:pPr>
      <w:r/>
      <w:r/>
    </w:p>
    <w:p>
      <w:pPr>
        <w:pStyle w:val="901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93"/>
        <w:jc w:val="center"/>
        <w:spacing w:before="0" w:beforeAutospacing="0" w:after="0" w:afterAutospacing="0"/>
      </w:pPr>
      <w:r>
        <w:t xml:space="preserve"> </w:t>
      </w:r>
      <w:r/>
    </w:p>
    <w:tbl>
      <w:tblPr>
        <w:tblW w:w="9616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946"/>
        <w:gridCol w:w="3543"/>
        <w:gridCol w:w="2127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актуальный профессиональный и социальный контекст, в котором работаешь и живешь;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основные источники информации и ресурсы для решения задач в профессиональном 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алгоритмы выполнения работ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смежных областях;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актуальную нормативно-правовую базу, регламентирующую профессиональную деятельность, предпринимательство и личное финансовое планирование;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возможные траектории профессионального развития и самообразования;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инфляции, ее влияние на решение финансовых задач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иностранной валюты и валютного курса;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-структуру личных доходов и расходов, правила составления личного и семейного бюджета;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особенности различных банковских продуктов и возможности их использования в профессиональной, предпринимательской деятельности и для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систему и полномочия государственных органов в сферах профессиональной деятельности, предпринимательской деятельности и защиты прав потребителей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знания особенностей профессионального и социального контекста;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ориентируется в источниках информации и ресурсах для решения задач в профессиональном 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 сформулировать алгоритм выполнения работ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смежных областях;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определить возможные траектории профессионального развития и самообразования;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определить наиболее подходящие способы оплаты товаров и услуг в конкретных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понимание влияния инфляции на решение финансовых задач в профессии, личном планировании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понимание валютных курсов и порядка проведения расчетов по обмену одной валюты на другую;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демонстрирует понимание правил составления личного и семейного бюджета;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знания о государственных органах и их полномочиях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предпринимательской сферах, а также в сфере защиты прав потребителей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color w:val="auto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инвестиционную привлекательность коммерческих идей в рамках профессиональной деятельности, выявляет источники финансирования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презентует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источники достоверной правовой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находит интересные проектные идеи, грамотно их формулирует и документирует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оценивает жизнеспособность проектной идеи, составляет план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Segoe UI">
    <w:panose1 w:val="020B0502040504020204"/>
  </w:font>
  <w:font w:name="Symbol">
    <w:panose1 w:val="05010000000000000000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49" w:hanging="22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79" w:hanging="22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608" w:hanging="22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438" w:hanging="22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68" w:hanging="22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097" w:hanging="22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927" w:hanging="22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756" w:hanging="22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45" w:hanging="360"/>
      </w:pPr>
      <w:rPr>
        <w:rFonts w:hint="default" w:ascii="Symbol" w:hAnsi="Symbol" w:eastAsia="Symbol" w:cs="Symbol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40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90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41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4" w:hanging="36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346" w:hanging="360"/>
        <w:jc w:val="right"/>
      </w:pPr>
      <w:rPr>
        <w:rFonts w:hint="default"/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140" w:hanging="504"/>
        <w:jc w:val="left"/>
      </w:pPr>
      <w:rPr>
        <w:rFonts w:hint="default"/>
        <w:spacing w:val="0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456" w:hanging="60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4">
      <w:start w:val="1"/>
      <w:numFmt w:val="decimal"/>
      <w:isLgl w:val="false"/>
      <w:suff w:val="tab"/>
      <w:lvlText w:val="%5."/>
      <w:lvlJc w:val="left"/>
      <w:pPr>
        <w:ind w:left="1941" w:hanging="32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40" w:hanging="32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479" w:hanging="32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018" w:hanging="32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558" w:hanging="323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49" w:hanging="22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79" w:hanging="22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608" w:hanging="22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438" w:hanging="22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68" w:hanging="22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097" w:hanging="22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927" w:hanging="22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756" w:hanging="226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2">
    <w:name w:val="Heading 1 Char"/>
    <w:basedOn w:val="890"/>
    <w:link w:val="888"/>
    <w:uiPriority w:val="9"/>
    <w:rPr>
      <w:rFonts w:ascii="Arial" w:hAnsi="Arial" w:eastAsia="Arial" w:cs="Arial"/>
      <w:sz w:val="40"/>
      <w:szCs w:val="40"/>
    </w:rPr>
  </w:style>
  <w:style w:type="character" w:styleId="713">
    <w:name w:val="Heading 2 Char"/>
    <w:basedOn w:val="890"/>
    <w:link w:val="889"/>
    <w:uiPriority w:val="9"/>
    <w:rPr>
      <w:rFonts w:ascii="Arial" w:hAnsi="Arial" w:eastAsia="Arial" w:cs="Arial"/>
      <w:sz w:val="34"/>
    </w:rPr>
  </w:style>
  <w:style w:type="paragraph" w:styleId="714">
    <w:name w:val="Heading 3"/>
    <w:basedOn w:val="887"/>
    <w:next w:val="887"/>
    <w:link w:val="71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5">
    <w:name w:val="Heading 3 Char"/>
    <w:basedOn w:val="890"/>
    <w:link w:val="714"/>
    <w:uiPriority w:val="9"/>
    <w:rPr>
      <w:rFonts w:ascii="Arial" w:hAnsi="Arial" w:eastAsia="Arial" w:cs="Arial"/>
      <w:sz w:val="30"/>
      <w:szCs w:val="30"/>
    </w:rPr>
  </w:style>
  <w:style w:type="paragraph" w:styleId="716">
    <w:name w:val="Heading 4"/>
    <w:basedOn w:val="887"/>
    <w:next w:val="887"/>
    <w:link w:val="7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7">
    <w:name w:val="Heading 4 Char"/>
    <w:basedOn w:val="890"/>
    <w:link w:val="716"/>
    <w:uiPriority w:val="9"/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887"/>
    <w:next w:val="887"/>
    <w:link w:val="71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9">
    <w:name w:val="Heading 5 Char"/>
    <w:basedOn w:val="890"/>
    <w:link w:val="718"/>
    <w:uiPriority w:val="9"/>
    <w:rPr>
      <w:rFonts w:ascii="Arial" w:hAnsi="Arial" w:eastAsia="Arial" w:cs="Arial"/>
      <w:b/>
      <w:bCs/>
      <w:sz w:val="24"/>
      <w:szCs w:val="24"/>
    </w:rPr>
  </w:style>
  <w:style w:type="paragraph" w:styleId="720">
    <w:name w:val="Heading 6"/>
    <w:basedOn w:val="887"/>
    <w:next w:val="887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1">
    <w:name w:val="Heading 6 Char"/>
    <w:basedOn w:val="890"/>
    <w:link w:val="720"/>
    <w:uiPriority w:val="9"/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887"/>
    <w:next w:val="887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3">
    <w:name w:val="Heading 7 Char"/>
    <w:basedOn w:val="890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4">
    <w:name w:val="Heading 8"/>
    <w:basedOn w:val="887"/>
    <w:next w:val="887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5">
    <w:name w:val="Heading 8 Char"/>
    <w:basedOn w:val="890"/>
    <w:link w:val="724"/>
    <w:uiPriority w:val="9"/>
    <w:rPr>
      <w:rFonts w:ascii="Arial" w:hAnsi="Arial" w:eastAsia="Arial" w:cs="Arial"/>
      <w:i/>
      <w:iCs/>
      <w:sz w:val="22"/>
      <w:szCs w:val="22"/>
    </w:rPr>
  </w:style>
  <w:style w:type="paragraph" w:styleId="726">
    <w:name w:val="Heading 9"/>
    <w:basedOn w:val="887"/>
    <w:next w:val="887"/>
    <w:link w:val="72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>
    <w:name w:val="Heading 9 Char"/>
    <w:basedOn w:val="890"/>
    <w:link w:val="726"/>
    <w:uiPriority w:val="9"/>
    <w:rPr>
      <w:rFonts w:ascii="Arial" w:hAnsi="Arial" w:eastAsia="Arial" w:cs="Arial"/>
      <w:i/>
      <w:iCs/>
      <w:sz w:val="21"/>
      <w:szCs w:val="21"/>
    </w:rPr>
  </w:style>
  <w:style w:type="paragraph" w:styleId="728">
    <w:name w:val="No Spacing"/>
    <w:uiPriority w:val="1"/>
    <w:qFormat/>
    <w:pPr>
      <w:spacing w:before="0" w:after="0" w:line="240" w:lineRule="auto"/>
    </w:pPr>
  </w:style>
  <w:style w:type="paragraph" w:styleId="729">
    <w:name w:val="Title"/>
    <w:basedOn w:val="887"/>
    <w:next w:val="887"/>
    <w:link w:val="73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0">
    <w:name w:val="Title Char"/>
    <w:basedOn w:val="890"/>
    <w:link w:val="729"/>
    <w:uiPriority w:val="10"/>
    <w:rPr>
      <w:sz w:val="48"/>
      <w:szCs w:val="48"/>
    </w:rPr>
  </w:style>
  <w:style w:type="paragraph" w:styleId="731">
    <w:name w:val="Subtitle"/>
    <w:basedOn w:val="887"/>
    <w:next w:val="887"/>
    <w:link w:val="732"/>
    <w:uiPriority w:val="11"/>
    <w:qFormat/>
    <w:pPr>
      <w:spacing w:before="200" w:after="200"/>
    </w:pPr>
    <w:rPr>
      <w:sz w:val="24"/>
      <w:szCs w:val="24"/>
    </w:rPr>
  </w:style>
  <w:style w:type="character" w:styleId="732">
    <w:name w:val="Subtitle Char"/>
    <w:basedOn w:val="890"/>
    <w:link w:val="731"/>
    <w:uiPriority w:val="11"/>
    <w:rPr>
      <w:sz w:val="24"/>
      <w:szCs w:val="24"/>
    </w:rPr>
  </w:style>
  <w:style w:type="paragraph" w:styleId="733">
    <w:name w:val="Quote"/>
    <w:basedOn w:val="887"/>
    <w:next w:val="887"/>
    <w:link w:val="734"/>
    <w:uiPriority w:val="29"/>
    <w:qFormat/>
    <w:pPr>
      <w:ind w:left="720" w:right="720"/>
    </w:pPr>
    <w:rPr>
      <w:i/>
    </w:rPr>
  </w:style>
  <w:style w:type="character" w:styleId="734">
    <w:name w:val="Quote Char"/>
    <w:link w:val="733"/>
    <w:uiPriority w:val="29"/>
    <w:rPr>
      <w:i/>
    </w:rPr>
  </w:style>
  <w:style w:type="paragraph" w:styleId="735">
    <w:name w:val="Intense Quote"/>
    <w:basedOn w:val="887"/>
    <w:next w:val="887"/>
    <w:link w:val="73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6">
    <w:name w:val="Intense Quote Char"/>
    <w:link w:val="735"/>
    <w:uiPriority w:val="30"/>
    <w:rPr>
      <w:i/>
    </w:rPr>
  </w:style>
  <w:style w:type="paragraph" w:styleId="737">
    <w:name w:val="Header"/>
    <w:basedOn w:val="887"/>
    <w:link w:val="7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>
    <w:name w:val="Header Char"/>
    <w:basedOn w:val="890"/>
    <w:link w:val="737"/>
    <w:uiPriority w:val="99"/>
  </w:style>
  <w:style w:type="paragraph" w:styleId="739">
    <w:name w:val="Footer"/>
    <w:basedOn w:val="887"/>
    <w:link w:val="7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0">
    <w:name w:val="Footer Char"/>
    <w:basedOn w:val="890"/>
    <w:link w:val="739"/>
    <w:uiPriority w:val="99"/>
  </w:style>
  <w:style w:type="paragraph" w:styleId="741">
    <w:name w:val="Caption"/>
    <w:basedOn w:val="887"/>
    <w:next w:val="8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2">
    <w:name w:val="Caption Char"/>
    <w:basedOn w:val="741"/>
    <w:link w:val="739"/>
    <w:uiPriority w:val="99"/>
  </w:style>
  <w:style w:type="table" w:styleId="743">
    <w:name w:val="Table Grid"/>
    <w:basedOn w:val="89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4">
    <w:name w:val="Table Grid Light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5">
    <w:name w:val="Plain Table 1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2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>
    <w:name w:val="Plain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Plain Table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>
    <w:name w:val="Grid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>
    <w:name w:val="Grid Table 4 - Accent 1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3">
    <w:name w:val="Grid Table 4 - Accent 2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4">
    <w:name w:val="Grid Table 4 - Accent 3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5">
    <w:name w:val="Grid Table 4 - Accent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6">
    <w:name w:val="Grid Table 4 - Accent 5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7">
    <w:name w:val="Grid Table 4 - Accent 6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8">
    <w:name w:val="Grid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9">
    <w:name w:val="Grid Table 5 Dark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5">
    <w:name w:val="Grid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6">
    <w:name w:val="Grid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7">
    <w:name w:val="Grid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8">
    <w:name w:val="Grid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9">
    <w:name w:val="Grid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0">
    <w:name w:val="Grid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1">
    <w:name w:val="Grid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2">
    <w:name w:val="Grid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7">
    <w:name w:val="List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8">
    <w:name w:val="List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9">
    <w:name w:val="List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0">
    <w:name w:val="List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1">
    <w:name w:val="List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2">
    <w:name w:val="List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3">
    <w:name w:val="List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5">
    <w:name w:val="List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6">
    <w:name w:val="List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7">
    <w:name w:val="List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8">
    <w:name w:val="List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9">
    <w:name w:val="List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0">
    <w:name w:val="List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1">
    <w:name w:val="List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2">
    <w:name w:val="List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3">
    <w:name w:val="List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4">
    <w:name w:val="List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5">
    <w:name w:val="List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6">
    <w:name w:val="List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7">
    <w:name w:val="List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8">
    <w:name w:val="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9">
    <w:name w:val="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0">
    <w:name w:val="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1">
    <w:name w:val="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2">
    <w:name w:val="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3">
    <w:name w:val="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4">
    <w:name w:val="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5">
    <w:name w:val="Bordered &amp; 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Bordered &amp; 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Bordered &amp; 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Bordered &amp; 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Bordered &amp; 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Bordered &amp; 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Bordered &amp; 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3">
    <w:name w:val="Bordered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4">
    <w:name w:val="Bordered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5">
    <w:name w:val="Bordered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6">
    <w:name w:val="Bordered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7">
    <w:name w:val="Bordered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8">
    <w:name w:val="Bordered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9">
    <w:name w:val="Hyperlink"/>
    <w:uiPriority w:val="99"/>
    <w:unhideWhenUsed/>
    <w:rPr>
      <w:color w:val="0000ff" w:themeColor="hyperlink"/>
      <w:u w:val="single"/>
    </w:rPr>
  </w:style>
  <w:style w:type="paragraph" w:styleId="870">
    <w:name w:val="footnote text"/>
    <w:basedOn w:val="887"/>
    <w:link w:val="871"/>
    <w:uiPriority w:val="99"/>
    <w:semiHidden/>
    <w:unhideWhenUsed/>
    <w:pPr>
      <w:spacing w:after="40" w:line="240" w:lineRule="auto"/>
    </w:pPr>
    <w:rPr>
      <w:sz w:val="18"/>
    </w:rPr>
  </w:style>
  <w:style w:type="character" w:styleId="871">
    <w:name w:val="Footnote Text Char"/>
    <w:link w:val="870"/>
    <w:uiPriority w:val="99"/>
    <w:rPr>
      <w:sz w:val="18"/>
    </w:rPr>
  </w:style>
  <w:style w:type="character" w:styleId="872">
    <w:name w:val="footnote reference"/>
    <w:basedOn w:val="890"/>
    <w:uiPriority w:val="99"/>
    <w:unhideWhenUsed/>
    <w:rPr>
      <w:vertAlign w:val="superscript"/>
    </w:rPr>
  </w:style>
  <w:style w:type="paragraph" w:styleId="873">
    <w:name w:val="endnote text"/>
    <w:basedOn w:val="887"/>
    <w:link w:val="874"/>
    <w:uiPriority w:val="99"/>
    <w:semiHidden/>
    <w:unhideWhenUsed/>
    <w:pPr>
      <w:spacing w:after="0" w:line="240" w:lineRule="auto"/>
    </w:pPr>
    <w:rPr>
      <w:sz w:val="20"/>
    </w:rPr>
  </w:style>
  <w:style w:type="character" w:styleId="874">
    <w:name w:val="Endnote Text Char"/>
    <w:link w:val="873"/>
    <w:uiPriority w:val="99"/>
    <w:rPr>
      <w:sz w:val="20"/>
    </w:rPr>
  </w:style>
  <w:style w:type="character" w:styleId="875">
    <w:name w:val="endnote reference"/>
    <w:basedOn w:val="890"/>
    <w:uiPriority w:val="99"/>
    <w:semiHidden/>
    <w:unhideWhenUsed/>
    <w:rPr>
      <w:vertAlign w:val="superscript"/>
    </w:rPr>
  </w:style>
  <w:style w:type="paragraph" w:styleId="876">
    <w:name w:val="toc 1"/>
    <w:basedOn w:val="887"/>
    <w:next w:val="887"/>
    <w:uiPriority w:val="39"/>
    <w:unhideWhenUsed/>
    <w:pPr>
      <w:ind w:left="0" w:right="0" w:firstLine="0"/>
      <w:spacing w:after="57"/>
    </w:pPr>
  </w:style>
  <w:style w:type="paragraph" w:styleId="877">
    <w:name w:val="toc 2"/>
    <w:basedOn w:val="887"/>
    <w:next w:val="887"/>
    <w:uiPriority w:val="39"/>
    <w:unhideWhenUsed/>
    <w:pPr>
      <w:ind w:left="283" w:right="0" w:firstLine="0"/>
      <w:spacing w:after="57"/>
    </w:pPr>
  </w:style>
  <w:style w:type="paragraph" w:styleId="878">
    <w:name w:val="toc 3"/>
    <w:basedOn w:val="887"/>
    <w:next w:val="887"/>
    <w:uiPriority w:val="39"/>
    <w:unhideWhenUsed/>
    <w:pPr>
      <w:ind w:left="567" w:right="0" w:firstLine="0"/>
      <w:spacing w:after="57"/>
    </w:pPr>
  </w:style>
  <w:style w:type="paragraph" w:styleId="879">
    <w:name w:val="toc 4"/>
    <w:basedOn w:val="887"/>
    <w:next w:val="887"/>
    <w:uiPriority w:val="39"/>
    <w:unhideWhenUsed/>
    <w:pPr>
      <w:ind w:left="850" w:right="0" w:firstLine="0"/>
      <w:spacing w:after="57"/>
    </w:pPr>
  </w:style>
  <w:style w:type="paragraph" w:styleId="880">
    <w:name w:val="toc 5"/>
    <w:basedOn w:val="887"/>
    <w:next w:val="887"/>
    <w:uiPriority w:val="39"/>
    <w:unhideWhenUsed/>
    <w:pPr>
      <w:ind w:left="1134" w:right="0" w:firstLine="0"/>
      <w:spacing w:after="57"/>
    </w:pPr>
  </w:style>
  <w:style w:type="paragraph" w:styleId="881">
    <w:name w:val="toc 6"/>
    <w:basedOn w:val="887"/>
    <w:next w:val="887"/>
    <w:uiPriority w:val="39"/>
    <w:unhideWhenUsed/>
    <w:pPr>
      <w:ind w:left="1417" w:right="0" w:firstLine="0"/>
      <w:spacing w:after="57"/>
    </w:pPr>
  </w:style>
  <w:style w:type="paragraph" w:styleId="882">
    <w:name w:val="toc 7"/>
    <w:basedOn w:val="887"/>
    <w:next w:val="887"/>
    <w:uiPriority w:val="39"/>
    <w:unhideWhenUsed/>
    <w:pPr>
      <w:ind w:left="1701" w:right="0" w:firstLine="0"/>
      <w:spacing w:after="57"/>
    </w:pPr>
  </w:style>
  <w:style w:type="paragraph" w:styleId="883">
    <w:name w:val="toc 8"/>
    <w:basedOn w:val="887"/>
    <w:next w:val="887"/>
    <w:uiPriority w:val="39"/>
    <w:unhideWhenUsed/>
    <w:pPr>
      <w:ind w:left="1984" w:right="0" w:firstLine="0"/>
      <w:spacing w:after="57"/>
    </w:pPr>
  </w:style>
  <w:style w:type="paragraph" w:styleId="884">
    <w:name w:val="toc 9"/>
    <w:basedOn w:val="887"/>
    <w:next w:val="887"/>
    <w:uiPriority w:val="39"/>
    <w:unhideWhenUsed/>
    <w:pPr>
      <w:ind w:left="2268" w:right="0" w:firstLine="0"/>
      <w:spacing w:after="57"/>
    </w:pPr>
  </w:style>
  <w:style w:type="paragraph" w:styleId="885">
    <w:name w:val="TOC Heading"/>
    <w:uiPriority w:val="39"/>
    <w:unhideWhenUsed/>
  </w:style>
  <w:style w:type="paragraph" w:styleId="886">
    <w:name w:val="table of figures"/>
    <w:basedOn w:val="887"/>
    <w:next w:val="887"/>
    <w:uiPriority w:val="99"/>
    <w:unhideWhenUsed/>
    <w:pPr>
      <w:spacing w:after="0" w:afterAutospacing="0"/>
    </w:pPr>
  </w:style>
  <w:style w:type="paragraph" w:styleId="887" w:default="1">
    <w:name w:val="Normal"/>
    <w:qFormat/>
  </w:style>
  <w:style w:type="paragraph" w:styleId="888">
    <w:name w:val="Heading 1"/>
    <w:basedOn w:val="887"/>
    <w:link w:val="894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89">
    <w:name w:val="Heading 2"/>
    <w:basedOn w:val="887"/>
    <w:link w:val="895"/>
    <w:uiPriority w:val="1"/>
    <w:qFormat/>
    <w:pPr>
      <w:ind w:left="1272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90" w:default="1">
    <w:name w:val="Default Paragraph Font"/>
    <w:uiPriority w:val="1"/>
    <w:semiHidden/>
    <w:unhideWhenUsed/>
  </w:style>
  <w:style w:type="table" w:styleId="8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2" w:default="1">
    <w:name w:val="No List"/>
    <w:uiPriority w:val="99"/>
    <w:semiHidden/>
    <w:unhideWhenUsed/>
  </w:style>
  <w:style w:type="paragraph" w:styleId="893">
    <w:name w:val="Normal (Web)"/>
    <w:basedOn w:val="88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4" w:customStyle="1">
    <w:name w:val="Заголовок 1 Знак"/>
    <w:basedOn w:val="890"/>
    <w:link w:val="888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95" w:customStyle="1">
    <w:name w:val="Заголовок 2 Знак"/>
    <w:basedOn w:val="890"/>
    <w:link w:val="889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96">
    <w:name w:val="Body Text"/>
    <w:basedOn w:val="887"/>
    <w:link w:val="897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897" w:customStyle="1">
    <w:name w:val="Основной текст Знак"/>
    <w:basedOn w:val="890"/>
    <w:link w:val="896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898">
    <w:name w:val="List Paragraph"/>
    <w:basedOn w:val="887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table" w:styleId="899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00" w:customStyle="1">
    <w:name w:val="Table Paragraph"/>
    <w:basedOn w:val="887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01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902" w:customStyle="1">
    <w:name w:val="1888"/>
    <w:rPr>
      <w:rFonts w:ascii="Liberation Sans" w:hAnsi="Liberation Sans" w:eastAsia="Liberation Sans" w:cs="Liberation Sans"/>
      <w:sz w:val="20"/>
      <w:szCs w:val="20"/>
    </w:rPr>
  </w:style>
  <w:style w:type="paragraph" w:styleId="903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904" w:customStyle="1">
    <w:name w:val="1492"/>
    <w:rPr>
      <w:rFonts w:ascii="Liberation Sans" w:hAnsi="Liberation Sans" w:eastAsia="Liberation Sans" w:cs="Liberation Sans"/>
      <w:sz w:val="20"/>
      <w:szCs w:val="20"/>
    </w:rPr>
  </w:style>
  <w:style w:type="character" w:styleId="905" w:customStyle="1">
    <w:name w:val="1213"/>
    <w:rPr>
      <w:rFonts w:ascii="Liberation Sans" w:hAnsi="Liberation Sans" w:eastAsia="Liberation Sans" w:cs="Liberation Sans"/>
      <w:sz w:val="20"/>
      <w:szCs w:val="20"/>
    </w:rPr>
  </w:style>
  <w:style w:type="character" w:styleId="906" w:customStyle="1">
    <w:name w:val="Основной текст (2)_"/>
    <w:rPr>
      <w:rFonts w:ascii="Times New Roman" w:hAnsi="Times New Roman" w:eastAsia="Times New Roman" w:cs="Times New Roman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hyperlink" Target="https://urait.ru/bcode/476085" TargetMode="External"/><Relationship Id="rId14" Type="http://schemas.openxmlformats.org/officeDocument/2006/relationships/hyperlink" Target="https://minfin.gov.ru/" TargetMode="External"/><Relationship Id="rId15" Type="http://schemas.openxmlformats.org/officeDocument/2006/relationships/hyperlink" Target="http://www.edu.pacc.ru" TargetMode="External"/><Relationship Id="rId16" Type="http://schemas.openxmlformats.org/officeDocument/2006/relationships/hyperlink" Target="http://www.pfr.gov.ru" TargetMode="External"/><Relationship Id="rId17" Type="http://schemas.openxmlformats.org/officeDocument/2006/relationships/hyperlink" Target="https://&#1084;&#1086;&#1080;&#1092;&#1080;&#1085;&#1072;&#1085;&#1089;&#1099;.&#1088;&#1092;/" TargetMode="External"/><Relationship Id="rId18" Type="http://schemas.openxmlformats.org/officeDocument/2006/relationships/hyperlink" Target="http://www.rospotrebnadzor.ru" TargetMode="External"/><Relationship Id="rId19" Type="http://schemas.openxmlformats.org/officeDocument/2006/relationships/hyperlink" Target="http://www.fmc.hse.ru" TargetMode="External"/><Relationship Id="rId20" Type="http://schemas.openxmlformats.org/officeDocument/2006/relationships/hyperlink" Target="http://www.cbr.ru/" TargetMode="External"/><Relationship Id="rId21" Type="http://schemas.openxmlformats.org/officeDocument/2006/relationships/hyperlink" Target="http://www.nalog.ru" TargetMode="External"/><Relationship Id="rId22" Type="http://schemas.openxmlformats.org/officeDocument/2006/relationships/hyperlink" Target="http://iurr.ranepa.ru/centry/finlit/" TargetMode="External"/><Relationship Id="rId23" Type="http://schemas.openxmlformats.org/officeDocument/2006/relationships/hyperlink" Target="https://fincult.info/" TargetMode="External"/><Relationship Id="rId24" Type="http://schemas.openxmlformats.org/officeDocument/2006/relationships/hyperlink" Target="https://&#1096;&#1082;&#1086;&#1083;&#1072;.&#1074;&#1072;&#1096;&#1080;&#1092;&#1080;&#1085;&#1072;&#1085;&#1089;&#1099;.&#1088;&#1092;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6</cp:revision>
  <dcterms:created xsi:type="dcterms:W3CDTF">2025-04-03T08:24:00Z</dcterms:created>
  <dcterms:modified xsi:type="dcterms:W3CDTF">2025-08-12T07:40:14Z</dcterms:modified>
</cp:coreProperties>
</file>